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650—11.2</w:t>
      </w:r>
      <w:r>
        <w:rPr>
          <w:rFonts w:ascii="Times New Roman" w:hAnsi="Times New Roman"/>
          <w:b/>
          <w:i w:val="false"/>
          <w:color w:val="000000"/>
          <w:sz w:val="22"/>
        </w:rPr>
        <w:t xml:space="preserve">(147,153) </w:t>
      </w:r>
      <w:r>
        <w:rPr>
          <w:rFonts w:ascii="Times New Roman" w:hAnsi="Times New Roman"/>
          <w:b/>
          <w:i w:val="false"/>
          <w:color w:val="000000"/>
          <w:sz w:val="22"/>
        </w:rPr>
        <w:t xml:space="preserve">Dental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licensure by examination to practice dentistry in this state shall be made on the form provided by the board and must be completely answered, including required credentials and documents. An applicant who has held a dental license issued in another state for one year or longer must apply for licensure by credentials pursuant to rule </w:t>
      </w:r>
      <w:hyperlink r:id="rId4">
        <w:r>
          <w:rPr>
            <w:rStyle w:val="Hyperlink"/>
            <w:rFonts w:ascii="Times New Roman" w:hAnsi="Times New Roman"/>
            <w:b w:val="false"/>
            <w:i w:val="false"/>
            <w:color w:val="000000"/>
            <w:sz w:val="22"/>
          </w:rPr>
          <w:t>650—11.3</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must be filed with the board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graduation from dental college. </w:t>
      </w:r>
      <w:r>
        <w:rPr>
          <w:rFonts w:ascii="Times New Roman" w:hAnsi="Times New Roman"/>
          <w:b w:val="false"/>
          <w:i w:val="false"/>
          <w:color w:val="000000"/>
          <w:sz w:val="22"/>
        </w:rPr>
        <w:t xml:space="preserve">Satisfactory evidence of graduation with a DDS or DMD from an accredited dental college approved by the board or satisfactory evidence of meeting the requirements specified in rule </w:t>
      </w:r>
      <w:hyperlink r:id="rId5">
        <w:r>
          <w:rPr>
            <w:rStyle w:val="Hyperlink"/>
            <w:rFonts w:ascii="Times New Roman" w:hAnsi="Times New Roman"/>
            <w:b w:val="false"/>
            <w:i w:val="false"/>
            <w:color w:val="000000"/>
            <w:sz w:val="22"/>
          </w:rPr>
          <w:t>650—11.4(153)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good standing from dean or designee. </w:t>
      </w:r>
      <w:r>
        <w:rPr>
          <w:rFonts w:ascii="Times New Roman" w:hAnsi="Times New Roman"/>
          <w:b w:val="false"/>
          <w:i w:val="false"/>
          <w:color w:val="000000"/>
          <w:sz w:val="22"/>
        </w:rPr>
        <w:t>Certification by the dean or other authorized representative of the dental school that the applicant has been a student in good standing while attending that dental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national dental examination. </w:t>
      </w:r>
      <w:r>
        <w:rPr>
          <w:rFonts w:ascii="Times New Roman" w:hAnsi="Times New Roman"/>
          <w:b w:val="false"/>
          <w:i w:val="false"/>
          <w:color w:val="000000"/>
          <w:sz w:val="22"/>
        </w:rPr>
        <w:t xml:space="preserve">Evidence of successful passage of the examination administered by the Joint Commission on National Dental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a clinical examination. </w:t>
      </w:r>
      <w:r>
        <w:rPr>
          <w:rFonts w:ascii="Times New Roman" w:hAnsi="Times New Roman"/>
          <w:b w:val="false"/>
          <w:i w:val="false"/>
          <w:color w:val="000000"/>
          <w:sz w:val="22"/>
        </w:rPr>
        <w:t>Successful passage of a board-approved clinical examination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patient-based regional clinical examinations are approved by the board for purposes of licensure by examination: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(CRDTS), the Western Regional Examining Board examination as administered by the Western Regional Examining Board (WREB),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(SRTA), and the American Board of Dental Examiners,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Commission on Dental Competency Assessments (CDCA) and the Council of Interstate Testing Agencies,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(CITA).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manikin-based regional clinical examinations are approved by the board for purposes of licensure by examination: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(CRDTS), and the American Board of Dental Examiners,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examination as administered by the Commission on Dental Competency Assessments (CDCA).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January 1, 2018, the 2014 California portfolio examination is approved by the board for the purposes of licensure by examination. To be eligible for licensure on the basis of portfolio examination, an applicant must be a student at the University of Iowa College of Dentistry or have graduated from the University of Iowa College of Dentistry within one year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Explanation of any legal or administrative actions. </w:t>
      </w:r>
      <w:r>
        <w:rPr>
          <w:rFonts w:ascii="Times New Roman" w:hAnsi="Times New Roman"/>
          <w:b w:val="false"/>
          <w:i w:val="false"/>
          <w:color w:val="000000"/>
          <w:sz w:val="22"/>
        </w:rPr>
        <w:t>A statement disclosing and explaining any disciplinary actions, investigations, complaints, malpractice claims,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of application, fingerprint and background check fees. </w:t>
      </w:r>
      <w:r>
        <w:rPr>
          <w:rFonts w:ascii="Times New Roman" w:hAnsi="Times New Roman"/>
          <w:b w:val="false"/>
          <w:i w:val="false"/>
          <w:color w:val="000000"/>
          <w:sz w:val="22"/>
        </w:rPr>
        <w:t xml:space="preserve">The nonrefundable application fee, plus the fee for the evaluation of the fingerprint packet and the criminal history background checks by the Iowa division of criminal investigation (DCI) and the Federal Bureau of Investigation (FBI), as specified in </w:t>
      </w:r>
      <w:hyperlink r:id="rId6">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jurisprudence examination.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Current CPR certification.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Completed fingerprint packet.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personal appearance or any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147.3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147.29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11.3.pdf" Type="http://schemas.openxmlformats.org/officeDocument/2006/relationships/hyperlink" Id="rId4"/>
    <Relationship TargetMode="External" Target="https://www.legis.iowa.gov/docs/iac/rule/650.11.4.pdf" Type="http://schemas.openxmlformats.org/officeDocument/2006/relationships/hyperlink" Id="rId5"/>
    <Relationship TargetMode="External" Target="https://www.legis.iowa.gov/docs/iac/chapter/650.15.pdf" Type="http://schemas.openxmlformats.org/officeDocument/2006/relationships/hyperlink" Id="rId6"/>
    <Relationship TargetMode="External" Target="https://www.legis.iowa.gov/docs/ico/chapter/147.3.pdf" Type="http://schemas.openxmlformats.org/officeDocument/2006/relationships/hyperlink" Id="rId7"/>
    <Relationship TargetMode="External" Target="https://www.legis.iowa.gov/docs/ico/chapter/147.29.pdf" Type="http://schemas.openxmlformats.org/officeDocument/2006/relationships/hyperlink" Id="rId8"/>
    <Relationship TargetMode="External" Target="https://www.legis.iowa.gov/docs/ico/chapter/147.3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