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650—11.12</w:t>
      </w:r>
      <w:r>
        <w:rPr>
          <w:rFonts w:ascii="Times New Roman" w:hAnsi="Times New Roman"/>
          <w:b/>
          <w:i w:val="false"/>
          <w:color w:val="000000"/>
          <w:sz w:val="22"/>
        </w:rPr>
        <w:t xml:space="preserve">(147) </w:t>
      </w:r>
      <w:r>
        <w:rPr>
          <w:rFonts w:ascii="Times New Roman" w:hAnsi="Times New Roman"/>
          <w:b/>
          <w:i w:val="false"/>
          <w:color w:val="000000"/>
          <w:sz w:val="22"/>
        </w:rPr>
        <w:t xml:space="preserve">Denial of licensure—appeal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or registration to an applicant, the board shall issue a preliminary notice of denial that shall be sent to the applicant by regular, first-class mail.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notice and request a hearing on the issues related to the preliminary notice of denial by serving a request for hearing upon the executive director not more than 30 calendar days following the date when the preliminary notice of denial was mailed. The request is deemed filed on the date it is received in the board office. The request shall provide the applicant’s current address, specify the factual or legal errors in the preliminary notice of denial, indicate if the applicant wants an evidentiary hearing, and provide any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shall be a contested case and subsequent proceedings shall be conducted in accordance with rule </w:t>
      </w:r>
      <w:hyperlink r:id="rId4">
        <w:r>
          <w:rPr>
            <w:rStyle w:val="Hyperlink"/>
            <w:rFonts w:ascii="Times New Roman" w:hAnsi="Times New Roman"/>
            <w:b w:val="false"/>
            <w:i w:val="false"/>
            <w:color w:val="000000"/>
            <w:sz w:val="22"/>
          </w:rPr>
          <w:t>650—51.20</w:t>
        </w:r>
      </w:hyperlink>
      <w:r>
        <w:rPr>
          <w:rFonts w:ascii="Times New Roman" w:hAnsi="Times New Roman"/>
          <w:b w:val="false"/>
          <w:i w:val="false"/>
          <w:color w:val="000000"/>
          <w:sz w:val="22"/>
        </w:rPr>
        <w:t>(17A). License or registration denial hearings are open to the public. 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or registration denial, may grant the license or registration, grant the license or registration with restrictions, or deny the license or registration. The board shall state the reasons for its final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to deny a license or registration, or to issue a license or registration with restrictions, may be sought in accordance with the provisions of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If an applicant does not appeal a preliminary notice of denial, the preliminary notice of denial automatically becomes final and a notice of denial will be issued. The final notice of denial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6">
        <w:r>
          <w:rPr>
            <w:rStyle w:val="Hyperlink"/>
            <w:rFonts w:ascii="Times New Roman" w:hAnsi="Times New Roman"/>
            <w:b w:val="false"/>
            <w:i w:val="false"/>
            <w:color w:val="000000"/>
            <w:sz w:val="22"/>
          </w:rPr>
          <w:t>11.10(2)</w:t>
        </w:r>
      </w:hyperlink>
      <w:r>
        <w:rPr>
          <w:rFonts w:ascii="Times New Roman" w:hAnsi="Times New Roman"/>
          <w:b w:val="false"/>
          <w:i w:val="false"/>
          <w:color w:val="000000"/>
          <w:sz w:val="22"/>
        </w:rPr>
        <w:t>, but the applicant fails to pursue that appeal to a final decision within six months from the date of the preliminary notice of denial, the board may dismiss the appeal. The appeal may be dismissed after the board sends a written notice by first-class mail to the applicant at the applicant’s last-known address. The notice shall state that the appeal will be dismissed and the preliminary notice of denial will become final if the applicant does not contact the board to schedule the appeal hearing within 14 days after the written notice is sent. Upon dismissal of an appeal, the preliminary notice of denial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offenses. </w:t>
      </w:r>
      <w:r>
        <w:rPr>
          <w:rFonts w:ascii="Times New Roman" w:hAnsi="Times New Roman"/>
          <w:b w:val="false"/>
          <w:i w:val="false"/>
          <w:color w:val="000000"/>
          <w:sz w:val="22"/>
        </w:rPr>
        <w:t xml:space="preserve">Any denial of licensure or registration based on a disqualifying offense is governed by </w:t>
      </w:r>
      <w:hyperlink r:id="rId7">
        <w:r>
          <w:rPr>
            <w:rStyle w:val="Hyperlink"/>
            <w:rFonts w:ascii="Times New Roman" w:hAnsi="Times New Roman"/>
            <w:b w:val="false"/>
            <w:i w:val="false"/>
            <w:color w:val="000000"/>
            <w:sz w:val="22"/>
          </w:rPr>
          <w:t>650—Chapter 50</w:t>
        </w:r>
      </w:hyperlink>
      <w:r>
        <w:rPr>
          <w:rFonts w:ascii="Times New Roman" w:hAnsi="Times New Roman"/>
          <w:b w:val="false"/>
          <w:i w:val="false"/>
          <w:color w:val="000000"/>
          <w:sz w:val="22"/>
        </w:rPr>
        <w:t xml:space="preserve"> and not this rule.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7789B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20.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ac/rule/650.11.10.pdf" Type="http://schemas.openxmlformats.org/officeDocument/2006/relationships/hyperlink" Id="rId6"/>
    <Relationship TargetMode="External" Target="https://www.legis.iowa.gov/docs/iac/chapter/650.50.pdf" Type="http://schemas.openxmlformats.org/officeDocument/2006/relationships/hyperlink" Id="rId7"/>
    <Relationship TargetMode="External" Target="https://www.legis.iowa.gov/docs/ico/chapter/147.3.pdf" Type="http://schemas.openxmlformats.org/officeDocument/2006/relationships/hyperlink" Id="rId8"/>
    <Relationship TargetMode="External" Target="https://www.legis.iowa.gov/docs/ico/chapter/147.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