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650—11.10</w:t>
      </w:r>
      <w:r>
        <w:rPr>
          <w:rFonts w:ascii="Times New Roman" w:hAnsi="Times New Roman"/>
          <w:b/>
          <w:i w:val="false"/>
          <w:color w:val="000000"/>
          <w:sz w:val="22"/>
        </w:rPr>
        <w:t xml:space="preserve">(147,153) </w:t>
      </w:r>
      <w:r>
        <w:rPr>
          <w:rFonts w:ascii="Times New Roman" w:hAnsi="Times New Roman"/>
          <w:b/>
          <w:i w:val="false"/>
          <w:color w:val="000000"/>
          <w:sz w:val="22"/>
        </w:rPr>
        <w:t xml:space="preserve">Review of applications. </w:t>
      </w:r>
      <w:r>
        <w:rPr>
          <w:rFonts w:ascii="Times New Roman" w:hAnsi="Times New Roman"/>
          <w:b w:val="false"/>
          <w:i w:val="false"/>
          <w:color w:val="000000"/>
          <w:sz w:val="22"/>
        </w:rPr>
        <w:t>Upon receipt of a completed application, the executive director as authorized by the board has discretion to:</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Authorize the issuance of the license, permit, or registration.</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Refer the license, permit, or registration application to the license and registration committee for review and consideration when the executive director determines that matters including, but not limited to, prior criminal history, chemical dependence, competency, physical or psychological illness, malpractice claims or settlements, or professional disciplinary history are relevant in determining the applicants’ qualifications for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executive director, the license and registration committee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Authorize the executive director to issue the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Send the license, permit, or registration application to the board for further review and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 license, permit, or registration application referred by the license and registration committee, the board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issuance of the license, permit, or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or registration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The license and registration committee or board may require an applicant to appear for an interview before the committee or the full board as part of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val="false"/>
          <w:color w:val="000000"/>
          <w:sz w:val="22"/>
        </w:rPr>
        <w:t>The license and registration committee or board may defer final action on an application if there is an investigation or disciplinary action pending against an applicant, who may otherwise meet the requirements for license, permit, or registration, until such time as the committee or board is satisfied that licensure or registration of the applicant poses no risk to the health and safety of Iowans.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dental hygiene committee shall be responsible for reviewing any applications submitted by a dental hygienist that require review in accordance with this rule. Following review by the dental hygiene committee, the committee shall make a recommendation to the board regarding issuance of the license or permit. The board’s review of the dental hygiene committee’s recommendation is subject to </w:t>
      </w:r>
      <w:hyperlink r:id="rId4">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11.10(6)</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permit, or reinstatement of a license will be considered complete prior to receipt of the criminal history background check on the applicant by the FBI for purposes of review and consideration by the executive director, the license and registration committee, or the board. However, an applicant is required to submit an additional completed fingerprint packet and fee within 30 days of a request by the board if an earlier fingerprint submission has been determined to be unacceptable by the DCI or FBI.</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153.33B</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4187C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pdf" Type="http://schemas.openxmlformats.org/officeDocument/2006/relationships/hyperlink" Id="rId4"/>
    <Relationship TargetMode="External" Target="https://www.legis.iowa.gov/docs/ico/chapter/153.33B.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