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650—11.1</w:t>
      </w:r>
      <w:r>
        <w:rPr>
          <w:rFonts w:ascii="Times New Roman" w:hAnsi="Times New Roman"/>
          <w:b/>
          <w:i w:val="false"/>
          <w:color w:val="000000"/>
          <w:sz w:val="22"/>
        </w:rPr>
        <w:t xml:space="preserve">(147,153) </w:t>
      </w:r>
      <w:r>
        <w:rPr>
          <w:rFonts w:ascii="Times New Roman" w:hAnsi="Times New Roman"/>
          <w:b/>
          <w:i w:val="false"/>
          <w:color w:val="000000"/>
          <w:sz w:val="22"/>
        </w:rPr>
        <w:t xml:space="preserve">Applicant responsibilities. </w:t>
      </w:r>
      <w:r>
        <w:rPr>
          <w:rFonts w:ascii="Times New Roman" w:hAnsi="Times New Roman"/>
          <w:b w:val="false"/>
          <w:i w:val="false"/>
          <w:color w:val="000000"/>
          <w:sz w:val="22"/>
        </w:rPr>
        <w:t>An applicant for dental or dental hygiene licensure or dental assistant registration bears full responsibility for each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 xml:space="preserve">Paying all fees charged by regulatory authorities, national testing or credentialing organizations, health facilities, and educational institutions providing the information required to complete a license, registration or permit application; </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Providing accurate, up-to-date, and truthful information on the application form including, but not limited to, prior professional experience, education, training, examination scores, and disciplinary history; and</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Submitting complete application materials. An application for a license, permit, or registration or reinstatement of a license or registration will be considered active for 180 days from the date the application is received. For purposes of establishing timely filing, the postmark on a paper submittal will be used, and for applications submitted online, the electronic timestamp will be deemed the date of filing. If the applicant does not submit all materials, including a completed fingerprint packet, within this time period or if the applicant does not meet the requirements for the license, permit, registration or reinstatement, the application shall be considered incomplete. An applicant whose application is filed incomplete must submit a new application and application fee.</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147.2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9218B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 xml:space="preserve">; </w:t>
      </w:r>
      <w:r>
        <w:rPr>
          <w:rFonts w:ascii="Times New Roman" w:hAnsi="Times New Roman"/>
          <w:b/>
          <w:i w:val="false"/>
          <w:color w:val="000000"/>
          <w:sz w:val="16"/>
        </w:rPr>
        <w:t>ARC 0265C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6673C</w:t>
      </w:r>
      <w:r>
        <w:rPr>
          <w:rFonts w:ascii="Times New Roman" w:hAnsi="Times New Roman"/>
          <w:b w:val="false"/>
          <w:i w:val="false"/>
          <w:color w:val="000000"/>
          <w:sz w:val="16"/>
        </w:rPr>
        <w:t>, IAB 11/16/22, effective 12/21/22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2.pdf" Type="http://schemas.openxmlformats.org/officeDocument/2006/relationships/hyperlink" Id="rId4"/>
    <Relationship TargetMode="External" Target="https://www.legis.iowa.gov/docs/ico/chapter/153.39.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