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650—10.6</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Change of name. </w:t>
      </w:r>
      <w:r>
        <w:rPr>
          <w:rFonts w:ascii="Times New Roman" w:hAnsi="Times New Roman"/>
          <w:b w:val="false"/>
          <w:i w:val="false"/>
          <w:color w:val="000000"/>
          <w:sz w:val="22"/>
        </w:rPr>
        <w:t>Each person licensed or registered by the board must notify the board, by written correspondence, of a change of legal name within 60 days of such change. Proof of a legal name change, such as a copy of a notarized letter, marriage certificate, or other legal document establishing the change must accompany the request for a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w:t>
      </w:r>
      <w:r>
        <w:rPr>
          <w:rFonts w:ascii="Times New Roman" w:hAnsi="Times New Roman"/>
          <w:b w:val="false"/>
          <w:i w:val="false"/>
          <w:color w:val="000000"/>
          <w:sz w:val="22"/>
        </w:rPr>
        <w:t>Each person licensed or registered by the board must notify the board within 60 days, through the board’s online system, of changes in email and mailing addresses. Address changes shall be submitted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Primary mailing address. </w:t>
      </w:r>
      <w:r>
        <w:rPr>
          <w:rFonts w:ascii="Times New Roman" w:hAnsi="Times New Roman"/>
          <w:b w:val="false"/>
          <w:i w:val="false"/>
          <w:color w:val="000000"/>
          <w:sz w:val="22"/>
        </w:rPr>
        <w:t>Licensees or registrants shall designate a primary mailing address. The primary mailing address may be a designated work or home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Practice locations. </w:t>
      </w:r>
      <w:r>
        <w:rPr>
          <w:rFonts w:ascii="Times New Roman" w:hAnsi="Times New Roman"/>
          <w:b w:val="false"/>
          <w:i w:val="false"/>
          <w:color w:val="000000"/>
          <w:sz w:val="22"/>
        </w:rPr>
        <w:t>Licensees or registrants shall report addresses for all practice locations. Practice locations include full-time and part-time practice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Email address. </w:t>
      </w:r>
      <w:r>
        <w:rPr>
          <w:rFonts w:ascii="Times New Roman" w:hAnsi="Times New Roman"/>
          <w:b w:val="false"/>
          <w:i w:val="false"/>
          <w:color w:val="000000"/>
          <w:sz w:val="22"/>
        </w:rPr>
        <w:t xml:space="preserve">Each licensee or registrant shall report, when available, an email address for the purpose of electronic communications from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color w:val="000000"/>
          <w:sz w:val="22"/>
        </w:rPr>
        <w:t xml:space="preserve">Child and dependent adult abuse training. </w:t>
      </w:r>
      <w:r>
        <w:rPr>
          <w:rFonts w:ascii="Times New Roman" w:hAnsi="Times New Roman"/>
          <w:b w:val="false"/>
          <w:i w:val="false"/>
          <w:color w:val="000000"/>
          <w:sz w:val="22"/>
        </w:rPr>
        <w:t xml:space="preserve">Licensees or registrants who regularly examine, attend, counsel or treat children or adults in Iowa must obtain mandatory training in child and dependent adult abuse identification and reporting in accordance with </w:t>
      </w:r>
      <w:hyperlink r:id="rId4">
        <w:r>
          <w:rPr>
            <w:rStyle w:val="Hyperlink"/>
            <w:rFonts w:ascii="Times New Roman" w:hAnsi="Times New Roman"/>
            <w:b w:val="false"/>
            <w:i w:val="false"/>
            <w:color w:val="000000"/>
            <w:sz w:val="22"/>
          </w:rPr>
          <w:t>650—subrule 25.4(2)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licensee and registrant shall be responsible for reporting to the board, within 30 days,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adverse judgment in a professional malpractice action to which the licensee or registrant was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settlement of a claim against the licensee or registrant alleging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license or registration revocation, suspension or other disciplinary action taken by a licensing authority of another state, territory or country within 30 days of the final action by the licensing authority.</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147.9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3987C</w:t>
      </w:r>
      <w:r>
        <w:rPr>
          <w:rFonts w:ascii="Times New Roman" w:hAnsi="Times New Roman"/>
          <w:b w:val="false"/>
          <w:i w:val="false"/>
          <w:color w:val="000000"/>
          <w:sz w:val="16"/>
        </w:rPr>
        <w:t>, IAB 8/29/18, effective 10/3/18</w:t>
      </w:r>
      <w:r>
        <w:rPr>
          <w:rFonts w:ascii="Times New Roman" w:hAnsi="Times New Roman"/>
          <w:b w:val="false"/>
          <w:i w:val="false"/>
          <w:color w:val="000000"/>
          <w:sz w:val="16"/>
        </w:rPr>
        <w:t xml:space="preserve">; </w:t>
      </w:r>
      <w:r>
        <w:rPr>
          <w:rFonts w:ascii="Times New Roman" w:hAnsi="Times New Roman"/>
          <w:b/>
          <w:i w:val="false"/>
          <w:color w:val="000000"/>
          <w:sz w:val="16"/>
        </w:rPr>
        <w:t>ARC 4846C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25.4.pdf" Type="http://schemas.openxmlformats.org/officeDocument/2006/relationships/hyperlink" Id="rId4"/>
    <Relationship TargetMode="External" Target="https://www.legis.iowa.gov/docs/ico/chapter/147.9.pdf" Type="http://schemas.openxmlformats.org/officeDocument/2006/relationships/hyperlink" Id="rId5"/>
    <Relationship TargetMode="External" Target="https://www.legis.iowa.gov/docs/ico/chapter/232.69.pdf" Type="http://schemas.openxmlformats.org/officeDocument/2006/relationships/hyperlink" Id="rId6"/>
    <Relationship TargetMode="External" Target="https://www.legis.iowa.gov/docs/ico/chapter/235B.16.pdf" Type="http://schemas.openxmlformats.org/officeDocument/2006/relationships/hyperlink" Id="rId7"/>
    <Relationship TargetMode="External" Target="https://www.legis.iowa.gov/docs/ico/chapter/272C.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