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650—10.5</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health supervision allowed. </w:t>
      </w:r>
      <w:r>
        <w:rPr>
          <w:rFonts w:ascii="Times New Roman" w:hAnsi="Times New Roman"/>
          <w:b w:val="false"/>
          <w:i w:val="false"/>
          <w:color w:val="000000"/>
          <w:sz w:val="22"/>
        </w:rPr>
        <w:t>A dentist who meets the requirements of this rule may provide public health supervision to a dental hygienist if the dentist has an active Iowa license and the services are provided in public health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Public health settings defined. </w:t>
      </w:r>
      <w:r>
        <w:rPr>
          <w:rFonts w:ascii="Times New Roman" w:hAnsi="Times New Roman"/>
          <w:b w:val="false"/>
          <w:i w:val="false"/>
          <w:color w:val="000000"/>
          <w:sz w:val="22"/>
        </w:rPr>
        <w:t xml:space="preserve">For the purposes of this rule, public health settings are limited to schools; Head Start programs; programs affiliated with the early childhood Iowa (ECI) initiative authorized by Iowa Code chapter </w:t>
      </w:r>
      <w:hyperlink r:id="rId4">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 child care centers (excluding home-based child care centers); federally qualified health centers; public health dental vans; free clinics; nonprofit community health centers; nursing facilities; and federal, state, or local public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defined. </w:t>
      </w:r>
      <w:r>
        <w:rPr>
          <w:rFonts w:ascii="Times New Roman" w:hAnsi="Times New Roman"/>
          <w:b w:val="false"/>
          <w:i w:val="false"/>
          <w:color w:val="000000"/>
          <w:sz w:val="22"/>
        </w:rPr>
        <w:t>“Public health supervision” means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authorizes and delegates the services provided by a dental hygienist to a patient in a public health setting, with the exception that hygiene services may be rendered without the patient’s first being examined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dentist is not required to provide future dental treatment to patients served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and the dental hygienist have entered into a written supervision agreement that details the responsibilities of each licensee, as specified in subrule </w:t>
      </w:r>
      <w:hyperlink r:id="rId5">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dental hygienist has an active Iowa license with a minimum of one year of clinical practice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w:t>
      </w:r>
      <w:r>
        <w:rPr>
          <w:rFonts w:ascii="Times New Roman" w:hAnsi="Times New Roman"/>
          <w:b w:val="false"/>
          <w:i w:val="false"/>
          <w:color w:val="000000"/>
          <w:sz w:val="22"/>
        </w:rPr>
        <w:t>When working together in a public health supervision relationship, a dentist and dental hygienist shall enter into a written agreement that specifies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providing public health supervision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available to provide communication and consultation with the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age- and procedure-specific standing orders for the performance of dental hygiene services. Those standing orders must include consideration for medically compromised patients and medical conditions for which a dental evaluation must occur prior to the provision of dental hygiene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a period of time in which an examination by a dentist must occur prior to providing further hygiene services. However, this examination requirement does not apply to educational services, assessments, screenings, and fluoride if specified in the supervision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the location or locations where the hygiene services will be provided under public health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board-approved training on silver diamine fluoride if the supervision agreement permits the use of silver diamine fluoride. The supervision agreement must specify guidelines for use of silver diamine fluoride and must follow board-approved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hygienist providing services under public health supervision may provide assessments; screenings; data collection; and educational, therapeutic, preventive, and diagnostic services as defined in rule </w:t>
      </w:r>
      <w:hyperlink r:id="rId6">
        <w:r>
          <w:rPr>
            <w:rStyle w:val="Hyperlink"/>
            <w:rFonts w:ascii="Times New Roman" w:hAnsi="Times New Roman"/>
            <w:b w:val="false"/>
            <w:i w:val="false"/>
            <w:color w:val="000000"/>
            <w:sz w:val="22"/>
          </w:rPr>
          <w:t>650—10.3</w:t>
        </w:r>
      </w:hyperlink>
      <w:r>
        <w:rPr>
          <w:rFonts w:ascii="Times New Roman" w:hAnsi="Times New Roman"/>
          <w:b w:val="false"/>
          <w:i w:val="false"/>
          <w:color w:val="000000"/>
          <w:sz w:val="22"/>
        </w:rPr>
        <w:t>(153), except for the administration of local anesthesia or nitrous oxide inhalation analgesia, and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contact and communication with the dentist providing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according to age- and procedure-specific standing orders as directed by the supervising dentist, unless otherwise directed by the dentist for a specific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patient, parent, or guardian a written plan for referral to a dentist and assessment of further dental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Have each patient sign a consent form that notifies the patient that the services that will be received do not take the place of regular dental checkups at a dental office and are meant for people who otherwise would not have access to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Specify a procedure for creating and maintaining dental records for the patients that are treated by the dental hygienist, including where these records are to be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Complete board-approved training on silver diamine fluoride if the supervision agreement permits the use of silver diamine fluoride. The supervision agreement must specify guidelines for use of silver diamine fluoride and must follow board-approved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agreement for public health supervision must be maintained by the dentist and the dental hygienist and must be made available to the board upon request. The dentist and dental hygienist must review the agreement at least biennially.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for public health supervision shall be filed with the Bureau of Oral and Health Delivery Systems, Iowa Department of Public Health, Lucas State Office Building, 321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dental hygienist who has rendered services under public health supervision must complete a summary report at the completion of a program or, in the case of an ongoing program, at least annually. The report shall be filed with the bureau of oral and health delivery systems of the Iowa department of public health on forms provided by the department and shall include information related to the number of patients seen and services provided so that the department may assess the impact of the program. The department will provide summary reports to the board on an annual basis.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7767B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0629C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2141C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I.pdf" Type="http://schemas.openxmlformats.org/officeDocument/2006/relationships/hyperlink" Id="rId4"/>
    <Relationship TargetMode="External" Target="https://www.legis.iowa.gov/docs/iac/rule/650.10.5.pdf" Type="http://schemas.openxmlformats.org/officeDocument/2006/relationships/hyperlink" Id="rId5"/>
    <Relationship TargetMode="External" Target="https://www.legis.iowa.gov/docs/iac/rule/650.10.3.pdf" Type="http://schemas.openxmlformats.org/officeDocument/2006/relationships/hyperlink" Id="rId6"/>
    <Relationship TargetMode="External" Target="https://www.legis.iowa.gov/docs/ico/chapter/153.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