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650—10.4</w:t>
      </w:r>
      <w:r>
        <w:rPr>
          <w:rFonts w:ascii="Times New Roman" w:hAnsi="Times New Roman"/>
          <w:b/>
          <w:i w:val="false"/>
          <w:color w:val="000000"/>
          <w:sz w:val="22"/>
        </w:rPr>
        <w:t xml:space="preserve">(153) </w:t>
      </w:r>
      <w:r>
        <w:rPr>
          <w:rFonts w:ascii="Times New Roman" w:hAnsi="Times New Roman"/>
          <w:b/>
          <w:i w:val="false"/>
          <w:color w:val="000000"/>
          <w:sz w:val="22"/>
        </w:rPr>
        <w:t xml:space="preserve">Unauthorized practice of a dental hygienist. </w:t>
      </w:r>
      <w:r>
        <w:rPr>
          <w:rFonts w:ascii="Times New Roman" w:hAnsi="Times New Roman"/>
          <w:b w:val="false"/>
          <w:i w:val="false"/>
          <w:color w:val="000000"/>
          <w:sz w:val="22"/>
        </w:rPr>
        <w:t>A dental hygienist who renders hygiene services, except educational services, that have not been delegated by a licensed dentist or that are not performed under the supervision of a licensed dentist as provided by rule shall be deemed to be practicing illegally.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means allowing a person not licensed in dentistry or dental hygiene to perform dental hygiene services authorized in Iowa Code section </w:t>
      </w:r>
      <w:hyperlink r:id="rId4">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650—10.3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also means the performance of services by a dental hygienist that exceeds the scope of practice granted in Iowa Code section </w:t>
      </w:r>
      <w:hyperlink r:id="rId6">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Students enrolled in dental hygiene programs. Students enrolled in an accredited dental hygiene program are not considered to be engaged in the unlawful practice of dental hygiene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must be under the direct supervision of a program instructor with an active Iowa dental hygiene license, Iowa faculty permit, or Iowa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must be under the general supervision of a dentist with an active Iowa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involving the administration or monitoring of nitrous oxide or the administration of local anesthesia must be under the direct supervision of a dentist with an active Iowa dental license.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147.57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2592C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3487C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15.pdf" Type="http://schemas.openxmlformats.org/officeDocument/2006/relationships/hyperlink" Id="rId4"/>
    <Relationship TargetMode="External" Target="https://www.legis.iowa.gov/docs/iac/rule/650.10.3.pdf" Type="http://schemas.openxmlformats.org/officeDocument/2006/relationships/hyperlink" Id="rId5"/>
    <Relationship TargetMode="External" Target="https://www.legis.iowa.gov/docs/ico/chapter/153.15.pdf" Type="http://schemas.openxmlformats.org/officeDocument/2006/relationships/hyperlink" Id="rId6"/>
    <Relationship TargetMode="External" Target="https://www.legis.iowa.gov/docs/ico/chapter/147.10.pdf" Type="http://schemas.openxmlformats.org/officeDocument/2006/relationships/hyperlink" Id="rId7"/>
    <Relationship TargetMode="External" Target="https://www.legis.iowa.gov/docs/ico/chapter/147.57.pdf" Type="http://schemas.openxmlformats.org/officeDocument/2006/relationships/hyperlink" Id="rId8"/>
    <Relationship TargetMode="External" Target="https://www.legis.iowa.gov/docs/ico/chapter/153.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