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650—1.4</w:t>
      </w:r>
      <w:r>
        <w:rPr>
          <w:rFonts w:ascii="Times New Roman" w:hAnsi="Times New Roman"/>
          <w:b/>
          <w:i w:val="false"/>
          <w:color w:val="000000"/>
          <w:sz w:val="22"/>
        </w:rPr>
        <w:t xml:space="preserve">(153) </w:t>
      </w:r>
      <w:r>
        <w:rPr>
          <w:rFonts w:ascii="Times New Roman" w:hAnsi="Times New Roman"/>
          <w:b/>
          <w:i w:val="false"/>
          <w:color w:val="000000"/>
          <w:sz w:val="22"/>
        </w:rPr>
        <w:t xml:space="preserve">Organization of the dental hygiene committee.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val="false"/>
          <w:color w:val="000000"/>
          <w:sz w:val="22"/>
        </w:rPr>
        <w:t xml:space="preserve">All matters regarding the practice, discipline, education, examination, and licensure of dental hygienists will be initially directed to the dental hygiene committee. The committee shall have the authority to adopt recommendations regarding the practice, discipline, education, examination, and licensure of dental hygienists and shall carry out duties as assigned by the board. Recommendations by the committee shall include a statement and documentation supporting its recommendation to the board. The board shall review all committee recommendations. The recommendations shall be ratified by the board unless the board makes a specific written finding that the recommendation exceeds the jurisdiction or expands the scope of the committee beyond the authority granted in subrule </w:t>
      </w:r>
      <w:hyperlink r:id="rId4">
        <w:r>
          <w:rPr>
            <w:rStyle w:val="Hyperlink"/>
            <w:rFonts w:ascii="Times New Roman" w:hAnsi="Times New Roman"/>
            <w:b w:val="false"/>
            <w:i w:val="false"/>
            <w:color w:val="000000"/>
            <w:sz w:val="22"/>
          </w:rPr>
          <w:t>1.4(2)</w:t>
        </w:r>
      </w:hyperlink>
      <w:r>
        <w:rPr>
          <w:rFonts w:ascii="Times New Roman" w:hAnsi="Times New Roman"/>
          <w:b w:val="false"/>
          <w:i w:val="false"/>
          <w:color w:val="000000"/>
          <w:sz w:val="22"/>
        </w:rPr>
        <w:t>, creates an undue financial impact on the board, or is not supported by the record. The board may not amend a committee recommendation without the concurrence of the majority of the members of the dental hygiene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val="false"/>
          <w:color w:val="000000"/>
          <w:sz w:val="22"/>
        </w:rPr>
        <w:t>This rule shall not be construed as impacting or changing the scope of practice of the profession of dental hygiene or authorizing the independent practice of dental hygiene.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val="false"/>
          <w:color w:val="000000"/>
          <w:sz w:val="22"/>
        </w:rPr>
        <w:t>The committee shall not have regulatory or disciplinary authority with regard to dentists, dental assistants, dental lab technicians, or other auxiliary dental personnel.</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153.33A</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0.1.4.pdf" Type="http://schemas.openxmlformats.org/officeDocument/2006/relationships/hyperlink" Id="rId4"/>
    <Relationship TargetMode="External" Target="https://www.legis.iowa.gov/docs/ico/chapter/153.33A.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