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650—1.2</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Purpose of the board. </w:t>
      </w:r>
      <w:r>
        <w:rPr>
          <w:rFonts w:ascii="Times New Roman" w:hAnsi="Times New Roman"/>
          <w:b w:val="false"/>
          <w:i w:val="false"/>
          <w:color w:val="000000"/>
          <w:sz w:val="22"/>
        </w:rPr>
        <w:t>The purpose of the board is to protect public health, safety, and welfare by administering, interpreting, and enforcing the provisions of law that relate to the practice of dentistry, dental hygiene, and dental assisting. In pursuit of this mission, the board performs these primary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Administers examinations for the testing of dentists, dental hygienists, and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Issues licenses, registrations, certificates, and permits to qualified practitioners;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 xml:space="preserve">Sets standards for license, registration, and permit renewal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Enforces Iowa laws regulating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Investigates complaints concerning violations of the dental practice Act and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disciplinary hearings and monitors the compliance of licensees or registrants with board orders; 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val="false"/>
          <w:color w:val="000000"/>
          <w:sz w:val="22"/>
        </w:rPr>
        <w:t>Adopts rules and establishes standards for practitioners pursuant to its authority under the Iowa Code and administrative rules.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