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650—1.1</w:t>
      </w:r>
      <w:r>
        <w:rPr>
          <w:rFonts w:ascii="Times New Roman" w:hAnsi="Times New Roman"/>
          <w:b/>
          <w:i w:val="false"/>
          <w:color w:val="000000"/>
          <w:sz w:val="22"/>
        </w:rPr>
        <w:t xml:space="preserve">(153)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these rules:</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“Accredited school” </w:t>
      </w:r>
      <w:r>
        <w:rPr>
          <w:rFonts w:ascii="Times New Roman" w:hAnsi="Times New Roman"/>
          <w:b w:val="false"/>
          <w:i w:val="false"/>
          <w:color w:val="000000"/>
          <w:sz w:val="22"/>
        </w:rPr>
        <w:t>means a dental, dental hygiene, or dental assisting education program accredited by the American Dental Association Commission on Dental Accreditation.</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dental board.</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“Chapter” </w:t>
      </w:r>
      <w:r>
        <w:rPr>
          <w:rFonts w:ascii="Times New Roman" w:hAnsi="Times New Roman"/>
          <w:b w:val="false"/>
          <w:i w:val="false"/>
          <w:color w:val="000000"/>
          <w:sz w:val="22"/>
        </w:rPr>
        <w:t xml:space="preserve">means Iowa Code chapter </w:t>
      </w:r>
      <w:hyperlink r:id="rId4">
        <w:r>
          <w:rPr>
            <w:rStyle w:val="Hyperlink"/>
            <w:rFonts w:ascii="Times New Roman" w:hAnsi="Times New Roman"/>
            <w:b w:val="false"/>
            <w:i w:val="false"/>
            <w:color w:val="000000"/>
            <w:sz w:val="22"/>
          </w:rPr>
          <w:t>153</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“Coronal polish” </w:t>
      </w:r>
      <w:r>
        <w:rPr>
          <w:rFonts w:ascii="Times New Roman" w:hAnsi="Times New Roman"/>
          <w:b w:val="false"/>
          <w:i w:val="false"/>
          <w:color w:val="000000"/>
          <w:sz w:val="22"/>
        </w:rPr>
        <w:t>means an adjunctive procedure that must also include removal of any calculus, if present, by a dentist or dental hygienist. Coronal polishing of teeth using only a rotary instrument and a rubber cup or brush for such purpose, when performed at the direction of and under the supervision of a licensed dentist, is deemed not to be the giving of prophylactic treatment.</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“Dental assistant trainee” </w:t>
      </w:r>
      <w:r>
        <w:rPr>
          <w:rFonts w:ascii="Times New Roman" w:hAnsi="Times New Roman"/>
          <w:b w:val="false"/>
          <w:i w:val="false"/>
          <w:color w:val="000000"/>
          <w:sz w:val="22"/>
        </w:rPr>
        <w:t xml:space="preserve">means any person who is engaging in on-the-job training to meet the requirements for registration in accordance with Iowa Code section </w:t>
      </w:r>
      <w:hyperlink r:id="rId5">
        <w:r>
          <w:rPr>
            <w:rStyle w:val="Hyperlink"/>
            <w:rFonts w:ascii="Times New Roman" w:hAnsi="Times New Roman"/>
            <w:b w:val="false"/>
            <w:i w:val="false"/>
            <w:color w:val="000000"/>
            <w:sz w:val="22"/>
          </w:rPr>
          <w:t>153.39</w:t>
        </w:r>
      </w:hyperlink>
      <w:r>
        <w:rPr>
          <w:rFonts w:ascii="Times New Roman" w:hAnsi="Times New Roman"/>
          <w:b w:val="false"/>
          <w:i w:val="false"/>
          <w:color w:val="000000"/>
          <w:sz w:val="22"/>
        </w:rPr>
        <w:t xml:space="preserve"> and who is learning the necessary skills under the personal supervision of a licensee or registrant as delegated by a licensed dentist.</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“Dental hygiene committee,” </w:t>
      </w:r>
      <w:r>
        <w:rPr>
          <w:rFonts w:ascii="Times New Roman" w:hAnsi="Times New Roman"/>
          <w:b w:val="false"/>
          <w:i w:val="false"/>
          <w:color w:val="000000"/>
          <w:sz w:val="22"/>
        </w:rPr>
        <w:t xml:space="preserve">as defined in Iowa Code section </w:t>
      </w:r>
      <w:hyperlink r:id="rId6">
        <w:r>
          <w:rPr>
            <w:rStyle w:val="Hyperlink"/>
            <w:rFonts w:ascii="Times New Roman" w:hAnsi="Times New Roman"/>
            <w:b w:val="false"/>
            <w:i w:val="false"/>
            <w:color w:val="000000"/>
            <w:sz w:val="22"/>
          </w:rPr>
          <w:t>153.33A</w:t>
        </w:r>
      </w:hyperlink>
      <w:r>
        <w:rPr>
          <w:rFonts w:ascii="Times New Roman" w:hAnsi="Times New Roman"/>
          <w:b w:val="false"/>
          <w:i w:val="false"/>
          <w:color w:val="000000"/>
          <w:sz w:val="22"/>
        </w:rPr>
        <w:t>, means the dental hygiene committee of the dental board.</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public health.</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“Direct supervision” </w:t>
      </w:r>
      <w:r>
        <w:rPr>
          <w:rFonts w:ascii="Times New Roman" w:hAnsi="Times New Roman"/>
          <w:b w:val="false"/>
          <w:i w:val="false"/>
          <w:color w:val="000000"/>
          <w:sz w:val="22"/>
        </w:rPr>
        <w:t>means that the dentist is present in the treatment facility, but it is not required that the dentist be physically present in the treatment room, or the dentist is not present in the treatment facility but is able to appear using live video upon request with a response time similar to what would be expected if the dentist were present in the treatment facility.</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“General supervision of a dental assistant” </w:t>
      </w:r>
      <w:r>
        <w:rPr>
          <w:rFonts w:ascii="Times New Roman" w:hAnsi="Times New Roman"/>
          <w:b w:val="false"/>
          <w:i w:val="false"/>
          <w:color w:val="000000"/>
          <w:sz w:val="22"/>
        </w:rPr>
        <w:t>means that a dentist has examined the patient and has delegated the services to be provided by a registered dental assistant, which are limited to all extraoral duties, dental radiography, intraoral suctioning, and use of a curing light and intraoral camera. The dentist need not be present in the facility while these services are being provided. If a dentist will not be present, the following requirements shall be met:</w:t>
      </w:r>
    </w:p>
    <w:p>
      <w:pPr>
        <w:spacing w:before="0" w:after="0"/>
        <w:ind w:left="120"/>
        <w:jc w:val="left"/>
      </w:pPr>
      <w:r>
        <w:rPr>
          <w:rFonts w:ascii="Times New Roman" w:hAnsi="Times New Roman"/>
          <w:b w:val="false"/>
          <w:i w:val="false"/>
          <w:color w:val="000000"/>
          <w:sz w:val="22"/>
        </w:rPr>
        <w:t>     1.   </w:t>
      </w:r>
      <w:r>
        <w:rPr>
          <w:rFonts w:ascii="Times New Roman" w:hAnsi="Times New Roman"/>
          <w:b w:val="false"/>
          <w:i w:val="false"/>
          <w:color w:val="000000"/>
          <w:sz w:val="22"/>
        </w:rPr>
        <w:t>Patients or their legal guardians must be informed prior to the appointment that no dentist will be present and therefore no examination will be conducted at that appointment.</w:t>
      </w:r>
    </w:p>
    <w:p>
      <w:pPr>
        <w:spacing w:before="0" w:after="0"/>
        <w:ind w:left="120"/>
        <w:jc w:val="left"/>
      </w:pPr>
      <w:r>
        <w:rPr>
          <w:rFonts w:ascii="Times New Roman" w:hAnsi="Times New Roman"/>
          <w:b w:val="false"/>
          <w:i w:val="false"/>
          <w:color w:val="000000"/>
          <w:sz w:val="22"/>
        </w:rPr>
        <w:t>     2.   </w:t>
      </w:r>
      <w:r>
        <w:rPr>
          <w:rFonts w:ascii="Times New Roman" w:hAnsi="Times New Roman"/>
          <w:b w:val="false"/>
          <w:i w:val="false"/>
          <w:color w:val="000000"/>
          <w:sz w:val="22"/>
        </w:rPr>
        <w:t>The dental assistant must consent to the arrangement.</w:t>
      </w:r>
    </w:p>
    <w:p>
      <w:pPr>
        <w:spacing w:before="0" w:after="0"/>
        <w:ind w:left="120"/>
        <w:jc w:val="left"/>
      </w:pPr>
      <w:r>
        <w:rPr>
          <w:rFonts w:ascii="Times New Roman" w:hAnsi="Times New Roman"/>
          <w:b w:val="false"/>
          <w:i w:val="false"/>
          <w:color w:val="000000"/>
          <w:sz w:val="22"/>
        </w:rPr>
        <w:t>     3.   </w:t>
      </w:r>
      <w:r>
        <w:rPr>
          <w:rFonts w:ascii="Times New Roman" w:hAnsi="Times New Roman"/>
          <w:b w:val="false"/>
          <w:i w:val="false"/>
          <w:color w:val="000000"/>
          <w:sz w:val="22"/>
        </w:rPr>
        <w:t>Basic emergency procedures must be established and in place, and the dental assistant must be capable of implementing these procedures.</w:t>
      </w:r>
    </w:p>
    <w:p>
      <w:pPr>
        <w:spacing w:before="0" w:after="0"/>
        <w:ind w:left="120"/>
        <w:jc w:val="left"/>
      </w:pPr>
      <w:r>
        <w:rPr>
          <w:rFonts w:ascii="Times New Roman" w:hAnsi="Times New Roman"/>
          <w:b w:val="false"/>
          <w:i w:val="false"/>
          <w:color w:val="000000"/>
          <w:sz w:val="22"/>
        </w:rPr>
        <w:t>     4.   </w:t>
      </w:r>
      <w:r>
        <w:rPr>
          <w:rFonts w:ascii="Times New Roman" w:hAnsi="Times New Roman"/>
          <w:b w:val="false"/>
          <w:i w:val="false"/>
          <w:color w:val="000000"/>
          <w:sz w:val="22"/>
        </w:rPr>
        <w:t>The treatment to be provided must be prior-prescribed by a licensed dentist and must be entered in writing in the patient record.</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“General supervision of a dental hygienist” </w:t>
      </w:r>
      <w:r>
        <w:rPr>
          <w:rFonts w:ascii="Times New Roman" w:hAnsi="Times New Roman"/>
          <w:b w:val="false"/>
          <w:i w:val="false"/>
          <w:color w:val="000000"/>
          <w:sz w:val="22"/>
        </w:rPr>
        <w:t>means that a dentist has examined the patient and has prescribed authorized services to be provided by a dental hygienist. The dentist need not be present in the facility while these services are being provided. If a dentist will not be present, the following requirements shall be met:</w:t>
      </w:r>
    </w:p>
    <w:p>
      <w:pPr>
        <w:spacing w:before="0" w:after="0"/>
        <w:ind w:left="120"/>
        <w:jc w:val="left"/>
      </w:pPr>
      <w:r>
        <w:rPr>
          <w:rFonts w:ascii="Times New Roman" w:hAnsi="Times New Roman"/>
          <w:b w:val="false"/>
          <w:i w:val="false"/>
          <w:color w:val="000000"/>
          <w:sz w:val="22"/>
        </w:rPr>
        <w:t>     1.   </w:t>
      </w:r>
      <w:r>
        <w:rPr>
          <w:rFonts w:ascii="Times New Roman" w:hAnsi="Times New Roman"/>
          <w:b w:val="false"/>
          <w:i w:val="false"/>
          <w:color w:val="000000"/>
          <w:sz w:val="22"/>
        </w:rPr>
        <w:t>Patients or their legal guardians must be informed prior to the appointment that no dentist will be present and therefore no examination will be conducted at that appointment.</w:t>
      </w:r>
    </w:p>
    <w:p>
      <w:pPr>
        <w:spacing w:before="0" w:after="0"/>
        <w:ind w:left="120"/>
        <w:jc w:val="left"/>
      </w:pPr>
      <w:r>
        <w:rPr>
          <w:rFonts w:ascii="Times New Roman" w:hAnsi="Times New Roman"/>
          <w:b w:val="false"/>
          <w:i w:val="false"/>
          <w:color w:val="000000"/>
          <w:sz w:val="22"/>
        </w:rPr>
        <w:t>     2.   </w:t>
      </w:r>
      <w:r>
        <w:rPr>
          <w:rFonts w:ascii="Times New Roman" w:hAnsi="Times New Roman"/>
          <w:b w:val="false"/>
          <w:i w:val="false"/>
          <w:color w:val="000000"/>
          <w:sz w:val="22"/>
        </w:rPr>
        <w:t>The hygienist must consent to the arrangement.</w:t>
      </w:r>
    </w:p>
    <w:p>
      <w:pPr>
        <w:spacing w:before="0" w:after="0"/>
        <w:ind w:left="120"/>
        <w:jc w:val="left"/>
      </w:pPr>
      <w:r>
        <w:rPr>
          <w:rFonts w:ascii="Times New Roman" w:hAnsi="Times New Roman"/>
          <w:b w:val="false"/>
          <w:i w:val="false"/>
          <w:color w:val="000000"/>
          <w:sz w:val="22"/>
        </w:rPr>
        <w:t>     3.   </w:t>
      </w:r>
      <w:r>
        <w:rPr>
          <w:rFonts w:ascii="Times New Roman" w:hAnsi="Times New Roman"/>
          <w:b w:val="false"/>
          <w:i w:val="false"/>
          <w:color w:val="000000"/>
          <w:sz w:val="22"/>
        </w:rPr>
        <w:t>Basic emergency procedures must be established and in place and the hygienist must be capable of implementing these procedures.</w:t>
      </w:r>
    </w:p>
    <w:p>
      <w:pPr>
        <w:spacing w:before="0" w:after="0"/>
        <w:ind w:left="120"/>
        <w:jc w:val="left"/>
      </w:pPr>
      <w:r>
        <w:rPr>
          <w:rFonts w:ascii="Times New Roman" w:hAnsi="Times New Roman"/>
          <w:b w:val="false"/>
          <w:i w:val="false"/>
          <w:color w:val="000000"/>
          <w:sz w:val="22"/>
        </w:rPr>
        <w:t>     4.   </w:t>
      </w:r>
      <w:r>
        <w:rPr>
          <w:rFonts w:ascii="Times New Roman" w:hAnsi="Times New Roman"/>
          <w:b w:val="false"/>
          <w:i w:val="false"/>
          <w:color w:val="000000"/>
          <w:sz w:val="22"/>
        </w:rPr>
        <w:t>The treatment to be provided must be prior prescribed by a licensed dentist and must be entered in writing in the patient record.</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“Lapsed license,” “permit,”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“registration” </w:t>
      </w:r>
      <w:r>
        <w:rPr>
          <w:rFonts w:ascii="Times New Roman" w:hAnsi="Times New Roman"/>
          <w:b w:val="false"/>
          <w:i w:val="false"/>
          <w:color w:val="000000"/>
          <w:sz w:val="22"/>
        </w:rPr>
        <w:t>means a license, permit, or registration that a person has failed to renew as required or the license, permit, or registration of a person who failed to meet stated obligations for renewal within a stated time. A person whose license, permit, or registration has lapsed continues to hold the privilege of licensure or registration in Iowa, but may not practice dentistry, dental hygiene, or dental assisting until the license, permit, or registration is reinstated.</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means a certificate issued to a person to practice as a dentist or dental hygienist under the laws of this state.</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 person who has been issued a certificate to practice as a dentist or dental hygienist under the laws of this state.</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“Overpayment” </w:t>
      </w:r>
      <w:r>
        <w:rPr>
          <w:rFonts w:ascii="Times New Roman" w:hAnsi="Times New Roman"/>
          <w:b w:val="false"/>
          <w:i w:val="false"/>
          <w:color w:val="000000"/>
          <w:sz w:val="22"/>
        </w:rPr>
        <w:t>means payment in excess of the required fee. Overpayment shall result in the return of the original request and payment, prior to processing, with a clarification of the total amount due.</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“Peer review” </w:t>
      </w:r>
      <w:r>
        <w:rPr>
          <w:rFonts w:ascii="Times New Roman" w:hAnsi="Times New Roman"/>
          <w:b w:val="false"/>
          <w:i w:val="false"/>
          <w:color w:val="000000"/>
          <w:sz w:val="22"/>
        </w:rPr>
        <w:t xml:space="preserve">as defined in Iowa Code section </w:t>
      </w:r>
      <w:hyperlink r:id="rId7">
        <w:r>
          <w:rPr>
            <w:rStyle w:val="Hyperlink"/>
            <w:rFonts w:ascii="Times New Roman" w:hAnsi="Times New Roman"/>
            <w:b w:val="false"/>
            <w:i w:val="false"/>
            <w:color w:val="000000"/>
            <w:sz w:val="22"/>
          </w:rPr>
          <w:t>272C.1(7)</w:t>
        </w:r>
      </w:hyperlink>
      <w:r>
        <w:rPr>
          <w:rFonts w:ascii="Times New Roman" w:hAnsi="Times New Roman"/>
          <w:b w:val="false"/>
          <w:i w:val="false"/>
          <w:color w:val="000000"/>
          <w:sz w:val="22"/>
        </w:rPr>
        <w:t xml:space="preserve"> means evaluation of professional services rendered by a licensee or registrant.</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“Peer review committee” </w:t>
      </w:r>
      <w:r>
        <w:rPr>
          <w:rFonts w:ascii="Times New Roman" w:hAnsi="Times New Roman"/>
          <w:b w:val="false"/>
          <w:i w:val="false"/>
          <w:color w:val="000000"/>
          <w:sz w:val="22"/>
        </w:rPr>
        <w:t xml:space="preserve">as defined in Iowa Code section </w:t>
      </w:r>
      <w:hyperlink r:id="rId8">
        <w:r>
          <w:rPr>
            <w:rStyle w:val="Hyperlink"/>
            <w:rFonts w:ascii="Times New Roman" w:hAnsi="Times New Roman"/>
            <w:b w:val="false"/>
            <w:i w:val="false"/>
            <w:color w:val="000000"/>
            <w:sz w:val="22"/>
          </w:rPr>
          <w:t>272C.1(8)</w:t>
        </w:r>
      </w:hyperlink>
      <w:r>
        <w:rPr>
          <w:rFonts w:ascii="Times New Roman" w:hAnsi="Times New Roman"/>
          <w:b w:val="false"/>
          <w:i w:val="false"/>
          <w:color w:val="000000"/>
          <w:sz w:val="22"/>
        </w:rPr>
        <w:t xml:space="preserve"> means one or more persons acting in a peer review capacity pursuant to these rules.</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“Personal supervision” </w:t>
      </w:r>
      <w:r>
        <w:rPr>
          <w:rFonts w:ascii="Times New Roman" w:hAnsi="Times New Roman"/>
          <w:b w:val="false"/>
          <w:i w:val="false"/>
          <w:color w:val="000000"/>
          <w:sz w:val="22"/>
        </w:rPr>
        <w:t>means a licensee or registrant is physically present in the room to oversee and instruct all services of the dental assistant trainee as delegated by a licensed dentist.</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“Practice of dentistry” </w:t>
      </w:r>
      <w:r>
        <w:rPr>
          <w:rFonts w:ascii="Times New Roman" w:hAnsi="Times New Roman"/>
          <w:b w:val="false"/>
          <w:i w:val="false"/>
          <w:color w:val="000000"/>
          <w:sz w:val="22"/>
        </w:rPr>
        <w:t xml:space="preserve">as defined in Iowa Code section </w:t>
      </w:r>
      <w:hyperlink r:id="rId9">
        <w:r>
          <w:rPr>
            <w:rStyle w:val="Hyperlink"/>
            <w:rFonts w:ascii="Times New Roman" w:hAnsi="Times New Roman"/>
            <w:b w:val="false"/>
            <w:i w:val="false"/>
            <w:color w:val="000000"/>
            <w:sz w:val="22"/>
          </w:rPr>
          <w:t>153.13</w:t>
        </w:r>
      </w:hyperlink>
      <w:r>
        <w:rPr>
          <w:rFonts w:ascii="Times New Roman" w:hAnsi="Times New Roman"/>
          <w:b w:val="false"/>
          <w:i w:val="false"/>
          <w:color w:val="000000"/>
          <w:sz w:val="22"/>
        </w:rPr>
        <w:t xml:space="preserve"> includes the rendering of professional services in this state as an employee or independent contractor or the rendering of any dental decisions, including diagnosing, treatment planning, determining the appropriateness of proposed dental care, or engaging in acts that constitute the practice of dentistry.</w:t>
      </w:r>
    </w:p>
    <w:p>
      <w:pPr>
        <w:spacing w:before="0" w:after="0"/>
        <w:ind w:left="120"/>
        <w:jc w:val="left"/>
      </w:pPr>
      <w:r>
        <w:rPr>
          <w:rFonts w:ascii="Times New Roman" w:hAnsi="Times New Roman"/>
          <w:b w:val="false"/>
          <w:i w:val="false"/>
          <w:color w:val="000000"/>
          <w:sz w:val="22"/>
        </w:rPr>
        <w:t>The following classes of persons shall also be deemed to be engaged in the practice of dentistry:</w:t>
      </w:r>
    </w:p>
    <w:p>
      <w:pPr>
        <w:spacing w:before="0" w:after="0"/>
        <w:ind w:left="120"/>
        <w:jc w:val="left"/>
      </w:pPr>
      <w:r>
        <w:rPr>
          <w:rFonts w:ascii="Times New Roman" w:hAnsi="Times New Roman"/>
          <w:b w:val="false"/>
          <w:i w:val="false"/>
          <w:color w:val="000000"/>
          <w:sz w:val="22"/>
        </w:rPr>
        <w:t>     1.   </w:t>
      </w:r>
      <w:r>
        <w:rPr>
          <w:rFonts w:ascii="Times New Roman" w:hAnsi="Times New Roman"/>
          <w:b w:val="false"/>
          <w:i w:val="false"/>
          <w:color w:val="000000"/>
          <w:sz w:val="22"/>
        </w:rPr>
        <w:t>Persons publicly professing to be dentists, dental surgeons, or skilled in the science of dentistry, or publicly professing to assume the duties incident to the practice of dentistry.</w:t>
      </w:r>
    </w:p>
    <w:p>
      <w:pPr>
        <w:spacing w:before="0" w:after="0"/>
        <w:ind w:left="120"/>
        <w:jc w:val="left"/>
      </w:pPr>
      <w:r>
        <w:rPr>
          <w:rFonts w:ascii="Times New Roman" w:hAnsi="Times New Roman"/>
          <w:b w:val="false"/>
          <w:i w:val="false"/>
          <w:color w:val="000000"/>
          <w:sz w:val="22"/>
        </w:rPr>
        <w:t>     2.   </w:t>
      </w:r>
      <w:r>
        <w:rPr>
          <w:rFonts w:ascii="Times New Roman" w:hAnsi="Times New Roman"/>
          <w:b w:val="false"/>
          <w:i w:val="false"/>
          <w:color w:val="000000"/>
          <w:sz w:val="22"/>
        </w:rPr>
        <w:t>Persons who perform examinations, diagnosis, treatment, and attempted correction by any medicine, appliance, surgery, or other appropriate method of any disease, condition, disorder, lesion, injury, deformity, or defect of the oral cavity and maxillofacial area, including teeth, gums, jaws, and associated structures and tissue, which methods by education, background, experience, and expertise are common to the practice of dentistry.</w:t>
      </w:r>
    </w:p>
    <w:p>
      <w:pPr>
        <w:spacing w:before="0" w:after="0"/>
        <w:ind w:left="120"/>
        <w:jc w:val="left"/>
      </w:pPr>
      <w:r>
        <w:rPr>
          <w:rFonts w:ascii="Times New Roman" w:hAnsi="Times New Roman"/>
          <w:b w:val="false"/>
          <w:i w:val="false"/>
          <w:color w:val="000000"/>
          <w:sz w:val="22"/>
        </w:rPr>
        <w:t>     3.   </w:t>
      </w:r>
      <w:r>
        <w:rPr>
          <w:rFonts w:ascii="Times New Roman" w:hAnsi="Times New Roman"/>
          <w:b w:val="false"/>
          <w:i w:val="false"/>
          <w:color w:val="000000"/>
          <w:sz w:val="22"/>
        </w:rPr>
        <w:t>Persons who offer to perform, perform, or assist with any phase of any operation incident to tooth whitening, including the instruction or application of tooth whitening materials or procedures at any geographic location. For purposes of this paragraph, “tooth whitening” means any process to whiten or lighten the appearance of human teeth by the application of chemicals, whether or not in conjunction with a light source.</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“Registrant” </w:t>
      </w:r>
      <w:r>
        <w:rPr>
          <w:rFonts w:ascii="Times New Roman" w:hAnsi="Times New Roman"/>
          <w:b w:val="false"/>
          <w:i w:val="false"/>
          <w:color w:val="000000"/>
          <w:sz w:val="22"/>
        </w:rPr>
        <w:t>means a person who has been issued a certificate to practice as a dental assistant under the laws of this state.</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“Registration” </w:t>
      </w:r>
      <w:r>
        <w:rPr>
          <w:rFonts w:ascii="Times New Roman" w:hAnsi="Times New Roman"/>
          <w:b w:val="false"/>
          <w:i w:val="false"/>
          <w:color w:val="000000"/>
          <w:sz w:val="22"/>
        </w:rPr>
        <w:t>means a certificate issued to a person to practice as a dental assistant under the laws of this state.</w:t>
      </w:r>
    </w:p>
    <w:p>
      <w:pPr>
        <w:spacing w:before="0" w:after="0"/>
        <w:ind w:left="120"/>
        <w:jc w:val="left"/>
      </w:pPr>
      <w:r>
        <w:rPr>
          <w:rFonts w:ascii="Times New Roman" w:hAnsi="Times New Roman"/>
          <w:b w:val="false"/>
          <w:i w:val="false"/>
          <w:color w:val="000000"/>
          <w:sz w:val="22"/>
        </w:rPr>
        <w:t xml:space="preserve">This rule is intended to implement Iowa Code sections </w:t>
      </w:r>
      <w:hyperlink r:id="rId10">
        <w:r>
          <w:rPr>
            <w:rStyle w:val="Hyperlink"/>
            <w:rFonts w:ascii="Times New Roman" w:hAnsi="Times New Roman"/>
            <w:b w:val="false"/>
            <w:i w:val="false"/>
            <w:color w:val="000000"/>
            <w:sz w:val="22"/>
          </w:rPr>
          <w:t>147.1(2)</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147.13</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147.30</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147.76</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147.80</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153.13</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153.15</w:t>
        </w:r>
      </w:hyperlink>
      <w:r>
        <w:rPr>
          <w:rFonts w:ascii="Times New Roman" w:hAnsi="Times New Roman"/>
          <w:b w:val="false"/>
          <w:i w:val="false"/>
          <w:color w:val="000000"/>
          <w:sz w:val="22"/>
        </w:rPr>
        <w:t xml:space="preserve">, and chapter </w:t>
      </w:r>
      <w:hyperlink r:id="rId17">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8369B</w:t>
      </w:r>
      <w:r>
        <w:rPr>
          <w:rFonts w:ascii="Times New Roman" w:hAnsi="Times New Roman"/>
          <w:b w:val="false"/>
          <w:i w:val="false"/>
          <w:color w:val="000000"/>
          <w:sz w:val="16"/>
        </w:rPr>
        <w:t>, IAB 12/16/09, effective 1/20/10</w:t>
      </w:r>
      <w:r>
        <w:rPr>
          <w:rFonts w:ascii="Times New Roman" w:hAnsi="Times New Roman"/>
          <w:b w:val="false"/>
          <w:i w:val="false"/>
          <w:color w:val="000000"/>
          <w:sz w:val="16"/>
        </w:rPr>
        <w:t xml:space="preserve">; </w:t>
      </w:r>
      <w:r>
        <w:rPr>
          <w:rFonts w:ascii="Times New Roman" w:hAnsi="Times New Roman"/>
          <w:b/>
          <w:i w:val="false"/>
          <w:color w:val="000000"/>
          <w:sz w:val="16"/>
        </w:rPr>
        <w:t>ARC 2030C</w:t>
      </w:r>
      <w:r>
        <w:rPr>
          <w:rFonts w:ascii="Times New Roman" w:hAnsi="Times New Roman"/>
          <w:b w:val="false"/>
          <w:i w:val="false"/>
          <w:color w:val="000000"/>
          <w:sz w:val="16"/>
        </w:rPr>
        <w:t>, IAB 6/10/15, effective 7/15/15</w:t>
      </w:r>
      <w:r>
        <w:rPr>
          <w:rFonts w:ascii="Times New Roman" w:hAnsi="Times New Roman"/>
          <w:b w:val="false"/>
          <w:i w:val="false"/>
          <w:color w:val="000000"/>
          <w:sz w:val="16"/>
        </w:rPr>
        <w:t xml:space="preserve">; </w:t>
      </w:r>
      <w:r>
        <w:rPr>
          <w:rFonts w:ascii="Times New Roman" w:hAnsi="Times New Roman"/>
          <w:b/>
          <w:i w:val="false"/>
          <w:color w:val="000000"/>
          <w:sz w:val="16"/>
        </w:rPr>
        <w:t>ARC 3963C</w:t>
      </w:r>
      <w:r>
        <w:rPr>
          <w:rFonts w:ascii="Times New Roman" w:hAnsi="Times New Roman"/>
          <w:b w:val="false"/>
          <w:i w:val="false"/>
          <w:color w:val="000000"/>
          <w:sz w:val="16"/>
        </w:rPr>
        <w:t>, IAB 8/15/18, effective 9/19/18</w:t>
      </w:r>
      <w:r>
        <w:rPr>
          <w:rFonts w:ascii="Times New Roman" w:hAnsi="Times New Roman"/>
          <w:b w:val="false"/>
          <w:i w:val="false"/>
          <w:color w:val="000000"/>
          <w:sz w:val="16"/>
        </w:rPr>
        <w:t xml:space="preserve">; </w:t>
      </w:r>
      <w:r>
        <w:rPr>
          <w:rFonts w:ascii="Times New Roman" w:hAnsi="Times New Roman"/>
          <w:b/>
          <w:i w:val="false"/>
          <w:color w:val="000000"/>
          <w:sz w:val="16"/>
        </w:rPr>
        <w:t>ARC 6303C</w:t>
      </w:r>
      <w:r>
        <w:rPr>
          <w:rFonts w:ascii="Times New Roman" w:hAnsi="Times New Roman"/>
          <w:b w:val="false"/>
          <w:i w:val="false"/>
          <w:color w:val="000000"/>
          <w:sz w:val="16"/>
        </w:rPr>
        <w:t>, IAB 4/20/22, effective 5/25/22</w:t>
      </w:r>
      <w:r>
        <w:rPr>
          <w:rFonts w:ascii="Times New Roman" w:hAnsi="Times New Roman"/>
          <w:b w:val="false"/>
          <w:i w:val="false"/>
          <w:color w:val="000000"/>
          <w:sz w:val="16"/>
        </w:rPr>
        <w:t xml:space="preserve">; </w:t>
      </w:r>
      <w:r>
        <w:rPr>
          <w:rFonts w:ascii="Times New Roman" w:hAnsi="Times New Roman"/>
          <w:b/>
          <w:i w:val="false"/>
          <w:color w:val="000000"/>
          <w:sz w:val="16"/>
        </w:rPr>
        <w:t>ARC 6673C</w:t>
      </w:r>
      <w:r>
        <w:rPr>
          <w:rFonts w:ascii="Times New Roman" w:hAnsi="Times New Roman"/>
          <w:b w:val="false"/>
          <w:i w:val="false"/>
          <w:color w:val="000000"/>
          <w:sz w:val="16"/>
        </w:rPr>
        <w:t>, IAB 11/16/22, effective 12/21/22</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53.pdf" Type="http://schemas.openxmlformats.org/officeDocument/2006/relationships/hyperlink" Id="rId4"/>
    <Relationship TargetMode="External" Target="https://www.legis.iowa.gov/docs/ico/chapter/153.39.pdf" Type="http://schemas.openxmlformats.org/officeDocument/2006/relationships/hyperlink" Id="rId5"/>
    <Relationship TargetMode="External" Target="https://www.legis.iowa.gov/docs/ico/chapter/153.33A.pdf" Type="http://schemas.openxmlformats.org/officeDocument/2006/relationships/hyperlink" Id="rId6"/>
    <Relationship TargetMode="External" Target="https://www.legis.iowa.gov/docs/ico/chapter/272C.1.pdf" Type="http://schemas.openxmlformats.org/officeDocument/2006/relationships/hyperlink" Id="rId7"/>
    <Relationship TargetMode="External" Target="https://www.legis.iowa.gov/docs/ico/chapter/272C.1.pdf" Type="http://schemas.openxmlformats.org/officeDocument/2006/relationships/hyperlink" Id="rId8"/>
    <Relationship TargetMode="External" Target="https://www.legis.iowa.gov/docs/ico/chapter/153.13.pdf" Type="http://schemas.openxmlformats.org/officeDocument/2006/relationships/hyperlink" Id="rId9"/>
    <Relationship TargetMode="External" Target="https://www.legis.iowa.gov/docs/ico/chapter/147.1.pdf" Type="http://schemas.openxmlformats.org/officeDocument/2006/relationships/hyperlink" Id="rId10"/>
    <Relationship TargetMode="External" Target="https://www.legis.iowa.gov/docs/ico/chapter/147.13.pdf" Type="http://schemas.openxmlformats.org/officeDocument/2006/relationships/hyperlink" Id="rId11"/>
    <Relationship TargetMode="External" Target="https://www.legis.iowa.gov/docs/ico/chapter/147.30.pdf" Type="http://schemas.openxmlformats.org/officeDocument/2006/relationships/hyperlink" Id="rId12"/>
    <Relationship TargetMode="External" Target="https://www.legis.iowa.gov/docs/ico/chapter/147.76.pdf" Type="http://schemas.openxmlformats.org/officeDocument/2006/relationships/hyperlink" Id="rId13"/>
    <Relationship TargetMode="External" Target="https://www.legis.iowa.gov/docs/ico/chapter/147.80.pdf" Type="http://schemas.openxmlformats.org/officeDocument/2006/relationships/hyperlink" Id="rId14"/>
    <Relationship TargetMode="External" Target="https://www.legis.iowa.gov/docs/ico/chapter/153.13.pdf" Type="http://schemas.openxmlformats.org/officeDocument/2006/relationships/hyperlink" Id="rId15"/>
    <Relationship TargetMode="External" Target="https://www.legis.iowa.gov/docs/ico/chapter/153.15.pdf" Type="http://schemas.openxmlformats.org/officeDocument/2006/relationships/hyperlink" Id="rId16"/>
    <Relationship TargetMode="External" Target="https://www.legis.iowa.gov/docs/ico/chapter/272C.pdf" Type="http://schemas.openxmlformats.org/officeDocument/2006/relationships/hyperlink" Id="rId1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