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641—92.6</w:t>
      </w:r>
      <w:r>
        <w:rPr>
          <w:rFonts w:ascii="Times New Roman" w:hAnsi="Times New Roman"/>
          <w:b/>
          <w:i w:val="false"/>
          <w:color w:val="000000"/>
          <w:sz w:val="22"/>
        </w:rPr>
        <w:t xml:space="preserve">(135) </w:t>
      </w:r>
      <w:r>
        <w:rPr>
          <w:rFonts w:ascii="Times New Roman" w:hAnsi="Times New Roman"/>
          <w:b/>
          <w:i w:val="false"/>
          <w:color w:val="000000"/>
          <w:sz w:val="22"/>
        </w:rPr>
        <w:t xml:space="preserve">Content of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92.6(1)</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review, the state medical examiner shall submit the committee’s report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governor or the governor’s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of the senate or employee of the general assembly designated by the majority leader or minority leader of the senate;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of the house of representatives or employee of the general assembly designated by the speaker or minority leader of the house of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92.6(2)</w:t>
      </w:r>
      <w:r>
        <w:rPr>
          <w:rFonts w:ascii="Times New Roman" w:hAnsi="Times New Roman"/>
          <w:b w:val="false"/>
          <w:i w:val="false"/>
          <w:color w:val="000000"/>
          <w:sz w:val="22"/>
        </w:rPr>
        <w:t> </w:t>
      </w:r>
      <w:r>
        <w:rPr>
          <w:rFonts w:ascii="Times New Roman" w:hAnsi="Times New Roman"/>
          <w:b w:val="false"/>
          <w:i w:val="false"/>
          <w:color w:val="000000"/>
          <w:sz w:val="22"/>
        </w:rPr>
        <w:t>The committee report shall include findings concerning the case and recommendations for changes to prevent child fatalities when similar circumstances exist. The report shall include but is not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dates, outcomes, and results of any actions taken by the department of human services and others in regard to each report and allegation of child abuse involving the child who died.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results of any review of the case performed by a multidisciplinary team, or by any other public entity that reviewed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Confirmation of the department of human services’ receipt of any report of child abuse involving the child, including confirmation as to whether or not any assessment involving the child was performed in accordance with Iowa Code section </w:t>
      </w:r>
      <w:hyperlink r:id="rId4">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the results of any assessment, a description of the most recent assessment and the services offered to the family, the services rendered to the family, and the basis for the department’s decisions concerning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92.6(3)</w:t>
      </w:r>
      <w:r>
        <w:rPr>
          <w:rFonts w:ascii="Times New Roman" w:hAnsi="Times New Roman"/>
          <w:b w:val="false"/>
          <w:i w:val="false"/>
          <w:color w:val="000000"/>
          <w:sz w:val="22"/>
        </w:rPr>
        <w:t> </w:t>
      </w:r>
      <w:r>
        <w:rPr>
          <w:rFonts w:ascii="Times New Roman" w:hAnsi="Times New Roman"/>
          <w:b w:val="false"/>
          <w:i w:val="false"/>
          <w:color w:val="000000"/>
          <w:sz w:val="22"/>
        </w:rPr>
        <w:t>If deemed appropriate by the committee, the committee may, at any point in the review, recommend to the department of human services, appropriate law enforcement agencies, and any other person involved with child protection, interventions intended to prevent harm to a child who is related to or is living in the same home as a child whose case is reviewed by the committee.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9355B</w:t>
      </w:r>
      <w:r>
        <w:rPr>
          <w:rFonts w:ascii="Times New Roman" w:hAnsi="Times New Roman"/>
          <w:b w:val="false"/>
          <w:i w:val="false"/>
          <w:color w:val="000000"/>
          <w:sz w:val="16"/>
        </w:rPr>
        <w:t>, IAB 2/9/11, effective 3/16/11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71B.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