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641—92.5</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 protocol for review. </w:t>
      </w:r>
      <w:r>
        <w:rPr>
          <w:rFonts w:ascii="Times New Roman" w:hAnsi="Times New Roman"/>
          <w:b w:val="false"/>
          <w:i w:val="false"/>
          <w:color w:val="000000"/>
          <w:sz w:val="22"/>
        </w:rPr>
        <w:t>In determining whether the department of human services and others involved with the case of child abuse responded appropriately, the committee shall review records relevant to the child’s death, which may include but are not limited to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reports of suspected child abuse on the identified child made to the department of human services pursuant to Iowa Code section </w:t>
      </w:r>
      <w:hyperlink r:id="rId4">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child abuse assessments performed on the identified child in accordance with Iowa Code section </w:t>
      </w:r>
      <w:hyperlink r:id="rId5">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All other department of human services records maintained on the identified child;</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All relevant law enforcement records which refer to the identified child;</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All relevant medical and hospital records of the identified child;</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All relevant court records which refer to the identified child;</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Records of any multidisciplinary team which reviewed the case of the identified child;</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Records of any public entity which reviewed the case of the identified child; and</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All relevant records maintained by a day care provider, other child care provider, preschool, elementary school, middle school, or high school which refer to the identified child.</w:t>
      </w:r>
    </w:p>
    <w:p>
      <w:pPr>
        <w:spacing w:before="0" w:after="0"/>
        <w:ind w:left="120"/>
        <w:jc w:val="left"/>
      </w:pPr>
      <w:r>
        <w:rPr>
          <w:rFonts w:ascii="Times New Roman" w:hAnsi="Times New Roman"/>
          <w:b w:val="false"/>
          <w:i w:val="false"/>
          <w:color w:val="000000"/>
          <w:sz w:val="22"/>
        </w:rPr>
        <w:t>The committee shall also consult with any multidisciplinary team that is operating in the area where the fatality occurred.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70.pdf" Type="http://schemas.openxmlformats.org/officeDocument/2006/relationships/hyperlink" Id="rId4"/>
    <Relationship TargetMode="External" Target="https://www.legis.iowa.gov/docs/ico/chapter/232.71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