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641—91.8</w:t>
      </w:r>
      <w:r>
        <w:rPr>
          <w:rFonts w:ascii="Times New Roman" w:hAnsi="Times New Roman"/>
          <w:b/>
          <w:i w:val="false"/>
          <w:color w:val="000000"/>
          <w:sz w:val="22"/>
        </w:rPr>
        <w:t xml:space="preserve">(135) </w:t>
      </w:r>
      <w:r>
        <w:rPr>
          <w:rFonts w:ascii="Times New Roman" w:hAnsi="Times New Roman"/>
          <w:b/>
          <w:i w:val="false"/>
          <w:color w:val="000000"/>
          <w:sz w:val="22"/>
        </w:rPr>
        <w:t xml:space="preserve">Team duties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The team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Prepare a biennial report to the governor, supreme court, attorney general, and the general assembly concerning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causes and manner of domestic abuse deaths, including an analysis of factual information obtained through review of domestic abuse death certificates and domestic abuse death data, including patient records and other pertinent confidential and public information concerning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contributing factors of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Recommendations regarding the prevention of future domestic abuse deaths, including actions to be taken by communities, based on an analysis of the contributing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and consult the agencies represented on the team and other state agencies regarding program and regulatory changes that may prevent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protocols for domestic abuse death investigations and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duties pursuant to subrule </w:t>
      </w:r>
      <w:hyperlink r:id="rId4">
        <w:r>
          <w:rPr>
            <w:rStyle w:val="Hyperlink"/>
            <w:rFonts w:ascii="Times New Roman" w:hAnsi="Times New Roman"/>
            <w:b w:val="false"/>
            <w:i w:val="false"/>
            <w:color w:val="000000"/>
            <w:sz w:val="22"/>
          </w:rPr>
          <w:t>91.8(1)</w:t>
        </w:r>
      </w:hyperlink>
      <w:r>
        <w:rPr>
          <w:rFonts w:ascii="Times New Roman" w:hAnsi="Times New Roman"/>
          <w:b w:val="false"/>
          <w:i w:val="false"/>
          <w:color w:val="000000"/>
          <w:sz w:val="22"/>
        </w:rPr>
        <w:t>, the review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information concerning the relationship between the decedent victim and the alleged or convicted perpetrator from the point when the abuse began until the death occurred in order to identify any correlation between events in the relationship and the escalation of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documents such as orders of protection, dissolution, custody, and support or related court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whether patterns regarding these events can be established in relation to domestic abuse deaths in general, and consider such conclusions in making recommendations for the biennial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val="false"/>
          <w:color w:val="000000"/>
          <w:sz w:val="22"/>
        </w:rPr>
        <w:t>The team may establish committees or panels to which the team may assign some or all of the team’s responsibilities set out in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91.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