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641—91.5</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r>
        <w:rPr>
          <w:rFonts w:ascii="Times New Roman" w:hAnsi="Times New Roman"/>
          <w:b w:val="false"/>
          <w:i w:val="false"/>
          <w:color w:val="000000"/>
          <w:sz w:val="22"/>
        </w:rPr>
        <w:t>Officers of the team shall be a chairperson and a vice chairperson and shall be elected at the first meeting of each fiscal year unless designated at the time of appointment. Vacancy in the office of chairperson shall be filled by elevation of the vice chairperson. Vacancy in the office of vice chairperson shall be filled by election at the next meeting after the vacancy occurs. The chairperson shall preside at all meetings of the team, appoint such subcommittees as deemed necessary, and designate the chairperson of each subcommittee. If the chairperson is absent or unable to act, the vice chairperson shall perform the duties of the chairperson. When so acting, the vice chairperson shall have all the powers of and be subject to all restrictions upon the chairperson. The vice chairperson shall also perform such other duties as may be assigned by the chairperson.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