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641—91.4</w:t>
      </w:r>
      <w:r>
        <w:rPr>
          <w:rFonts w:ascii="Times New Roman" w:hAnsi="Times New Roman"/>
          <w:b/>
          <w:i w:val="false"/>
          <w:color w:val="000000"/>
          <w:sz w:val="22"/>
        </w:rPr>
        <w:t xml:space="preserve">(135) </w:t>
      </w:r>
      <w:r>
        <w:rPr>
          <w:rFonts w:ascii="Times New Roman" w:hAnsi="Times New Roman"/>
          <w:b/>
          <w:i w:val="false"/>
          <w:color w:val="000000"/>
          <w:sz w:val="22"/>
        </w:rPr>
        <w:t xml:space="preserve">Membership. </w:t>
      </w:r>
      <w:r>
        <w:rPr>
          <w:rFonts w:ascii="Times New Roman" w:hAnsi="Times New Roman"/>
          <w:b w:val="false"/>
          <w:i w:val="false"/>
          <w:color w:val="000000"/>
          <w:sz w:val="22"/>
        </w:rPr>
        <w:t xml:space="preserve">The membership of the team is subject to the provisions of Iowa Code sections </w:t>
      </w:r>
      <w:hyperlink r:id="rId4">
        <w:r>
          <w:rPr>
            <w:rStyle w:val="Hyperlink"/>
            <w:rFonts w:ascii="Times New Roman" w:hAnsi="Times New Roman"/>
            <w:b w:val="false"/>
            <w:i w:val="false"/>
            <w:color w:val="000000"/>
            <w:sz w:val="22"/>
          </w:rPr>
          <w:t>69.16</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69.16A</w:t>
        </w:r>
      </w:hyperlink>
      <w:r>
        <w:rPr>
          <w:rFonts w:ascii="Times New Roman" w:hAnsi="Times New Roman"/>
          <w:b w:val="false"/>
          <w:i w:val="false"/>
          <w:color w:val="000000"/>
          <w:sz w:val="22"/>
        </w:rPr>
        <w:t>, relating to political affiliation and gender balance. Team members who are not designated by another appointing authority shall be appointed by the director of public health, in consultation with the attorney general. At least one member shall also be a member of the Iowa child death review team. Membership terms shall be for three years. One-third of the initial members shall serve for three years, one-third of the initial members shall serve for two years, and one-third of the initial members shall serve for one year, as designated by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91.4(1)</w:t>
      </w:r>
      <w:r>
        <w:rPr>
          <w:rFonts w:ascii="Times New Roman" w:hAnsi="Times New Roman"/>
          <w:b w:val="false"/>
          <w:i w:val="false"/>
          <w:color w:val="000000"/>
          <w:sz w:val="22"/>
        </w:rPr>
        <w:t> </w:t>
      </w:r>
      <w:r>
        <w:rPr>
          <w:rFonts w:ascii="Times New Roman" w:hAnsi="Times New Roman"/>
          <w:b w:val="false"/>
          <w:i w:val="false"/>
          <w:color w:val="000000"/>
          <w:sz w:val="22"/>
        </w:rPr>
        <w:t>The team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medical examiner or the state medical examiner’s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physician, physician assistant or nurse who is knowledgeable concerning domestic abuse injuries and deaths, including suicides.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mental health professional who is knowledgeable concerning domestic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representative or designee of the Iowa coalition against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certified or licensed professional who is knowledgeable concerning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law enforcement official who is knowledgeable about domestic abuse and is a member of a state law enforcement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law enforcement investigator experienced in domestic abuse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prosecuting attorney experienced in prosecuting domestic abuse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member of the judiciary appointed by the chief justice of the supreme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clerk of the district court appointed by the chief justice of the supreme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department of correctional services’ employee or subcontractor who is assigned batterers’ treatment program responsibilities and is knowledgeable about risk level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 attorney licensed in this state who provides criminal defense assistance or child custody representation and who is experienced in dissolution of marriage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Both a female and a male victim of domestic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family member of a decedent whose death resulted from domestic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91.4(2)</w:t>
      </w:r>
      <w:r>
        <w:rPr>
          <w:rFonts w:ascii="Times New Roman" w:hAnsi="Times New Roman"/>
          <w:b w:val="false"/>
          <w:i w:val="false"/>
          <w:color w:val="000000"/>
          <w:sz w:val="22"/>
        </w:rPr>
        <w:t> </w:t>
      </w:r>
      <w:r>
        <w:rPr>
          <w:rFonts w:ascii="Times New Roman" w:hAnsi="Times New Roman"/>
          <w:b w:val="false"/>
          <w:i w:val="false"/>
          <w:color w:val="000000"/>
          <w:sz w:val="22"/>
        </w:rPr>
        <w:t>Vacancies shall be filled in the same manner in which the original appointments were made. An appointee shall complete the original member’s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91.4(3)</w:t>
      </w:r>
      <w:r>
        <w:rPr>
          <w:rFonts w:ascii="Times New Roman" w:hAnsi="Times New Roman"/>
          <w:b w:val="false"/>
          <w:i w:val="false"/>
          <w:color w:val="000000"/>
          <w:sz w:val="22"/>
        </w:rPr>
        <w:t> </w:t>
      </w:r>
      <w:r>
        <w:rPr>
          <w:rFonts w:ascii="Times New Roman" w:hAnsi="Times New Roman"/>
          <w:b w:val="false"/>
          <w:i w:val="false"/>
          <w:color w:val="000000"/>
          <w:sz w:val="22"/>
        </w:rPr>
        <w:t>Three consecutive unexcused absences shall be grounds for the director to consider dismissal of the team member and the appointment of another. The chairperson of the team is charged with providing notification of absences.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91.4(4)</w:t>
      </w:r>
      <w:r>
        <w:rPr>
          <w:rFonts w:ascii="Times New Roman" w:hAnsi="Times New Roman"/>
          <w:b w:val="false"/>
          <w:i w:val="false"/>
          <w:color w:val="000000"/>
          <w:sz w:val="22"/>
        </w:rPr>
        <w:t> </w:t>
      </w:r>
      <w:r>
        <w:rPr>
          <w:rFonts w:ascii="Times New Roman" w:hAnsi="Times New Roman"/>
          <w:b w:val="false"/>
          <w:i w:val="false"/>
          <w:color w:val="000000"/>
          <w:sz w:val="22"/>
        </w:rPr>
        <w:t>The department may temporarily appoint other members to serve as experts, as needed,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91.4(5)</w:t>
      </w:r>
      <w:r>
        <w:rPr>
          <w:rFonts w:ascii="Times New Roman" w:hAnsi="Times New Roman"/>
          <w:b w:val="false"/>
          <w:i w:val="false"/>
          <w:color w:val="000000"/>
          <w:sz w:val="22"/>
        </w:rPr>
        <w:t> </w:t>
      </w:r>
      <w:r>
        <w:rPr>
          <w:rFonts w:ascii="Times New Roman" w:hAnsi="Times New Roman"/>
          <w:b w:val="false"/>
          <w:i w:val="false"/>
          <w:color w:val="000000"/>
          <w:sz w:val="22"/>
        </w:rPr>
        <w:t>Members of the team who are currently practicing attorneys or current employees of the judicial branch shall not participate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 review involving a case in which the team member is presently involved by professional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protocols for domestic abuse death investigations and team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Development of regulatory changes related to domestic abuse deaths.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 xml:space="preserve">; </w:t>
      </w:r>
      <w:r>
        <w:rPr>
          <w:rFonts w:ascii="Times New Roman" w:hAnsi="Times New Roman"/>
          <w:b/>
          <w:i w:val="false"/>
          <w:color w:val="000000"/>
          <w:sz w:val="16"/>
        </w:rPr>
        <w:t>ARC 6847C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9.16.pdf" Type="http://schemas.openxmlformats.org/officeDocument/2006/relationships/hyperlink" Id="rId4"/>
    <Relationship TargetMode="External" Target="https://www.legis.iowa.gov/docs/ico/chapter/69.16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