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641—91.3</w:t>
      </w:r>
      <w:r>
        <w:rPr>
          <w:rFonts w:ascii="Times New Roman" w:hAnsi="Times New Roman"/>
          <w:b/>
          <w:i w:val="false"/>
          <w:color w:val="000000"/>
          <w:sz w:val="22"/>
        </w:rPr>
        <w:t xml:space="preserve">(135) </w:t>
      </w:r>
      <w:r>
        <w:rPr>
          <w:rFonts w:ascii="Times New Roman" w:hAnsi="Times New Roman"/>
          <w:b/>
          <w:i w:val="false"/>
          <w:color w:val="000000"/>
          <w:sz w:val="22"/>
        </w:rPr>
        <w:t xml:space="preserve">Agency. </w:t>
      </w:r>
      <w:r>
        <w:rPr>
          <w:rFonts w:ascii="Times New Roman" w:hAnsi="Times New Roman"/>
          <w:b w:val="false"/>
          <w:i w:val="false"/>
          <w:color w:val="000000"/>
          <w:sz w:val="22"/>
        </w:rPr>
        <w:t>The Iowa domestic abuse death review team is established as an independent agency of state government. The Iowa department of public health shall provide staffing and administrative support to the team.</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