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641—91.10</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and disclosure of information. </w:t>
      </w:r>
      <w:r>
        <w:rPr>
          <w:rFonts w:ascii="Times New Roman" w:hAnsi="Times New Roman"/>
          <w:b w:val="false"/>
          <w:i w:val="false"/>
          <w:color w:val="000000"/>
          <w:sz w:val="22"/>
        </w:rPr>
        <w:t xml:space="preserve">The team and liaisons shall maintain the confidentiality of all information and records used in the review and analysis of domestic abuse deaths, including disclosure of information which is confidential under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91.10(1)</w:t>
      </w:r>
      <w:r>
        <w:rPr>
          <w:rFonts w:ascii="Times New Roman" w:hAnsi="Times New Roman"/>
          <w:b w:val="false"/>
          <w:i w:val="false"/>
          <w:color w:val="000000"/>
          <w:sz w:val="22"/>
        </w:rPr>
        <w:t> </w:t>
      </w:r>
      <w:r>
        <w:rPr>
          <w:rFonts w:ascii="Times New Roman" w:hAnsi="Times New Roman"/>
          <w:b w:val="false"/>
          <w:i w:val="false"/>
          <w:color w:val="000000"/>
          <w:sz w:val="22"/>
        </w:rPr>
        <w:t>No information on individual deaths contained in the records described in this rule shall be disclosed except for the purposes of the team, committee or subcommittee meeting, and no confidential information received in preparation for or during the course of such meeting shall be removed from the meeting room except for further review as authorized by the team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91.10(2)</w:t>
      </w:r>
      <w:r>
        <w:rPr>
          <w:rFonts w:ascii="Times New Roman" w:hAnsi="Times New Roman"/>
          <w:b w:val="false"/>
          <w:i w:val="false"/>
          <w:color w:val="000000"/>
          <w:sz w:val="22"/>
        </w:rPr>
        <w:t> </w:t>
      </w:r>
      <w:r>
        <w:rPr>
          <w:rFonts w:ascii="Times New Roman" w:hAnsi="Times New Roman"/>
          <w:b w:val="false"/>
          <w:i w:val="false"/>
          <w:color w:val="000000"/>
          <w:sz w:val="22"/>
        </w:rPr>
        <w:t>In preparation for review of an individual death by the team or its authorized committee or subcommittee, the chairperson of the team or the chairperson’s designee is authorized to gather all information pertinent to the review. This information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and child care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Autopsy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abuse registry, investigation or assessment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public assistance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Traffic and public safety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Law enforcement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Fire marshal’s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Birth and death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Other relevant records necessary to conduct a complete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possession or control of medical, investigative or other information pertaining to a domestic abuse death and related incidents and events preceding the domestic abuse death shall allow the inspection and reproduction of the information by the department upon the request of the department to be used only in the administration and for the duties of the Iowa domestic abuse death review team.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records which are confidential under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and information or records received from the confidential records, remain confidential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91.10(5)</w:t>
      </w:r>
      <w:r>
        <w:rPr>
          <w:rFonts w:ascii="Times New Roman" w:hAnsi="Times New Roman"/>
          <w:b w:val="false"/>
          <w:i w:val="false"/>
          <w:color w:val="000000"/>
          <w:sz w:val="22"/>
        </w:rPr>
        <w:t> </w:t>
      </w:r>
      <w:r>
        <w:rPr>
          <w:rFonts w:ascii="Times New Roman" w:hAnsi="Times New Roman"/>
          <w:b w:val="false"/>
          <w:i w:val="false"/>
          <w:color w:val="000000"/>
          <w:sz w:val="22"/>
        </w:rPr>
        <w:t>A person does not incur legal liability by reason of releasing information to the department as required under and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91.10(6)</w:t>
      </w:r>
      <w:r>
        <w:rPr>
          <w:rFonts w:ascii="Times New Roman" w:hAnsi="Times New Roman"/>
          <w:b w:val="false"/>
          <w:i w:val="false"/>
          <w:color w:val="000000"/>
          <w:sz w:val="22"/>
        </w:rPr>
        <w:t> </w:t>
      </w:r>
      <w:r>
        <w:rPr>
          <w:rFonts w:ascii="Times New Roman" w:hAnsi="Times New Roman"/>
          <w:b w:val="false"/>
          <w:i w:val="false"/>
          <w:color w:val="000000"/>
          <w:sz w:val="22"/>
        </w:rPr>
        <w:t>A person who releases or discloses confidential data, records, or any other type of information in violation of this rule is guilty of a serious misdemeanor.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35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