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641—90.3</w:t>
      </w:r>
      <w:r>
        <w:rPr>
          <w:rFonts w:ascii="Times New Roman" w:hAnsi="Times New Roman"/>
          <w:b/>
          <w:i w:val="false"/>
          <w:color w:val="000000"/>
          <w:sz w:val="22"/>
        </w:rPr>
        <w:t xml:space="preserve">(135) </w:t>
      </w:r>
      <w:r>
        <w:rPr>
          <w:rFonts w:ascii="Times New Roman" w:hAnsi="Times New Roman"/>
          <w:b/>
          <w:i w:val="false"/>
          <w:color w:val="000000"/>
          <w:sz w:val="22"/>
        </w:rPr>
        <w:t xml:space="preserve">Agency. </w:t>
      </w:r>
      <w:r>
        <w:rPr>
          <w:rFonts w:ascii="Times New Roman" w:hAnsi="Times New Roman"/>
          <w:b w:val="false"/>
          <w:i w:val="false"/>
          <w:color w:val="000000"/>
          <w:sz w:val="22"/>
        </w:rPr>
        <w:t>The Iowa child death review team is established as part of the office of the state medical examiner. The office of the state medical examiner shall provide staffing and administrative support to the team as needed to collect data, organize meetings, and issue an annual report.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9248B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