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641—90.10</w:t>
      </w:r>
      <w:r>
        <w:rPr>
          <w:rFonts w:ascii="Times New Roman" w:hAnsi="Times New Roman"/>
          <w:b/>
          <w:i w:val="false"/>
          <w:color w:val="000000"/>
          <w:sz w:val="22"/>
        </w:rPr>
        <w:t xml:space="preserve">(135) </w:t>
      </w:r>
      <w:r>
        <w:rPr>
          <w:rFonts w:ascii="Times New Roman" w:hAnsi="Times New Roman"/>
          <w:b/>
          <w:i w:val="false"/>
          <w:color w:val="000000"/>
          <w:sz w:val="22"/>
        </w:rPr>
        <w:t xml:space="preserve">Confidentiality and disclosure of information. </w:t>
      </w:r>
      <w:r>
        <w:rPr>
          <w:rFonts w:ascii="Times New Roman" w:hAnsi="Times New Roman"/>
          <w:b w:val="false"/>
          <w:i w:val="false"/>
          <w:color w:val="000000"/>
          <w:sz w:val="22"/>
        </w:rPr>
        <w:t xml:space="preserve">The team and liaisons shall maintain the confidentiality of all information and records used in the review and analysis of child deaths, including disclosure of information which is confidential under Iowa Code chapter </w:t>
      </w:r>
      <w:hyperlink r:id="rId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any other provisions of state law. No information on individual deaths contained in the records described in this rule shall be disclosed except for the purposes of the team, committee or subcommittee meeting, and no confidential information received in preparation for or during the course of such meeting shall be removed from the meeting room except for further review as authorized by the team chairperson.</w:t>
      </w:r>
    </w:p>
    <w:p>
      <w:pPr>
        <w:spacing w:before="0" w:after="0"/>
        <w:ind w:left="120"/>
        <w:jc w:val="left"/>
      </w:pPr>
      <w:r>
        <w:rPr>
          <w:rFonts w:ascii="Times New Roman" w:hAnsi="Times New Roman"/>
          <w:b w:val="false"/>
          <w:i w:val="false"/>
          <w:color w:val="000000"/>
          <w:sz w:val="22"/>
        </w:rPr>
        <w:t>In preparation for review of an individual death by the team or its authorized committee or subcommittee, the chairperson of the team or the chairperson’s designee is authorized to gather all information pertinent to the review. This information may include, but is not limited to, hospital records, physician’s records, school records, day-care records, autopsy records, child abuse registry, investigation or assessment records, state public assistance records, traffic records, public safety records, law enforcement records, fire marshal’s records, birth records, death records, and other relevant records necessary to conduct a complete review.</w:t>
      </w:r>
    </w:p>
    <w:p>
      <w:pPr>
        <w:spacing w:before="0" w:after="0"/>
        <w:ind w:left="120"/>
        <w:jc w:val="left"/>
      </w:pPr>
      <w:r>
        <w:rPr>
          <w:rFonts w:ascii="Times New Roman" w:hAnsi="Times New Roman"/>
          <w:b w:val="false"/>
          <w:i w:val="false"/>
          <w:color w:val="000000"/>
          <w:sz w:val="22"/>
        </w:rPr>
        <w:t xml:space="preserve">A person in possession or control of medical, investigative or other information pertaining to a child death and child abuse review shall allow the inspection and reproduction of the information by the department upon the request of the department, to be used only in the administration and for the duties of the Iowa child death review team. Information and records which are confidential under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235A</w:t>
        </w:r>
      </w:hyperlink>
      <w:r>
        <w:rPr>
          <w:rFonts w:ascii="Times New Roman" w:hAnsi="Times New Roman"/>
          <w:b w:val="false"/>
          <w:i w:val="false"/>
          <w:color w:val="000000"/>
          <w:sz w:val="22"/>
        </w:rPr>
        <w:t>, and information or records received from the confidential records, remain confidential under this rule. A person does not incur legal liability by reason of releasing information to the department as required under and in compliance with this rule.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35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