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641—81.4</w:t>
      </w:r>
      <w:r>
        <w:rPr>
          <w:rFonts w:ascii="Times New Roman" w:hAnsi="Times New Roman"/>
          <w:b/>
          <w:i w:val="false"/>
          <w:color w:val="000000"/>
          <w:sz w:val="22"/>
        </w:rPr>
        <w:t xml:space="preserve">(138) </w:t>
      </w:r>
      <w:r>
        <w:rPr>
          <w:rFonts w:ascii="Times New Roman" w:hAnsi="Times New Roman"/>
          <w:b/>
          <w:i w:val="false"/>
          <w:color w:val="000000"/>
          <w:sz w:val="22"/>
        </w:rPr>
        <w:t xml:space="preserve">Bathing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81.4(1)</w:t>
      </w:r>
      <w:r>
        <w:rPr>
          <w:rFonts w:ascii="Times New Roman" w:hAnsi="Times New Roman"/>
          <w:b w:val="false"/>
          <w:i w:val="false"/>
          <w:color w:val="000000"/>
          <w:sz w:val="22"/>
        </w:rPr>
        <w:t> </w:t>
      </w:r>
      <w:r>
        <w:rPr>
          <w:rFonts w:ascii="Times New Roman" w:hAnsi="Times New Roman"/>
          <w:b w:val="false"/>
          <w:i w:val="false"/>
          <w:color w:val="000000"/>
          <w:sz w:val="22"/>
        </w:rPr>
        <w:t>Showers shall be supplied with hot and cold water under pressure. Shower enclosures shall be sufficient to provide privacy for the user. An adjacent, enclosed dry area shall be provided for dressing. No duckboards, mats or other such accessories shall be permitted.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81.4(2)</w:t>
      </w:r>
      <w:r>
        <w:rPr>
          <w:rFonts w:ascii="Times New Roman" w:hAnsi="Times New Roman"/>
          <w:b w:val="false"/>
          <w:i w:val="false"/>
          <w:color w:val="000000"/>
          <w:sz w:val="22"/>
        </w:rPr>
        <w:t> </w:t>
      </w:r>
      <w:r>
        <w:rPr>
          <w:rFonts w:ascii="Times New Roman" w:hAnsi="Times New Roman"/>
          <w:b w:val="false"/>
          <w:i w:val="false"/>
          <w:color w:val="000000"/>
          <w:sz w:val="22"/>
        </w:rPr>
        <w:t>Automatic water-heating equipment, or storage tanks with hand-fired heating coils, shall be equipped with combination pressure and temperature relief valves or separate pressure and temperature relief valves. Temperature relief valves shall be located in the top one-eighth or not more than 3 inches above the top of the tank served. Pressure relief valves may be located adjacent to the tank. Gas-fired or other combustion-type water heaters shall be vented to the outside atmosphere.</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