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641—81.3</w:t>
      </w:r>
      <w:r>
        <w:rPr>
          <w:rFonts w:ascii="Times New Roman" w:hAnsi="Times New Roman"/>
          <w:b/>
          <w:i w:val="false"/>
          <w:color w:val="000000"/>
          <w:sz w:val="22"/>
        </w:rPr>
        <w:t xml:space="preserve">(138) </w:t>
      </w:r>
      <w:r>
        <w:rPr>
          <w:rFonts w:ascii="Times New Roman" w:hAnsi="Times New Roman"/>
          <w:b/>
          <w:i w:val="false"/>
          <w:color w:val="000000"/>
          <w:sz w:val="22"/>
        </w:rPr>
        <w:t xml:space="preserve">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Solid waste disposal. </w:t>
      </w:r>
      <w:r>
        <w:rPr>
          <w:rFonts w:ascii="Times New Roman" w:hAnsi="Times New Roman"/>
          <w:b w:val="false"/>
          <w:i w:val="false"/>
          <w:color w:val="000000"/>
          <w:sz w:val="22"/>
        </w:rPr>
        <w:t>Solid waste shall be disposed of in a sanitary disposal project approved by the Iowa department of public health, or if disposed of on the premises, the solid wastes shall be buried so as to create no health hazard or nuisance.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Liquid waste.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Existing wastewater disposal systems shall be located and constructed so as not to create a nuisance or condition of pollution.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Water-carriage toilets shall discharge to a septic tank and solid absorption system or other type disposal system approved by the Iowa department of public health located, designed and constructed in accordance with the specifications set forth in the Iowa department of natural resources’ current publication, “Residential Sewage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leaching pit or other type disposal system approved by the Iowa department of public health shall be provided to receive the wastes from sinks, laundries, showers and tubs when no septic tank and absorption system is available. Such leaching pits shall be located and constructed in accordance with the specifications set forth in the Iowa department of natural resources’ current publication, “Residential Sewage Disposal Systems.”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