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641—70.7</w:t>
      </w:r>
      <w:r>
        <w:rPr>
          <w:rFonts w:ascii="Times New Roman" w:hAnsi="Times New Roman"/>
          <w:b/>
          <w:i w:val="false"/>
          <w:color w:val="000000"/>
          <w:sz w:val="22"/>
        </w:rPr>
        <w:t xml:space="preserve">(135) </w:t>
      </w:r>
      <w:r>
        <w:rPr>
          <w:rFonts w:ascii="Times New Roman" w:hAnsi="Times New Roman"/>
          <w:b/>
          <w:i w:val="false"/>
          <w:color w:val="000000"/>
          <w:sz w:val="22"/>
        </w:rPr>
        <w:t xml:space="preserve">Firms. </w:t>
      </w:r>
      <w:r>
        <w:rPr>
          <w:rFonts w:ascii="Times New Roman" w:hAnsi="Times New Roman"/>
          <w:b w:val="false"/>
          <w:i w:val="false"/>
          <w:color w:val="000000"/>
          <w:sz w:val="22"/>
        </w:rPr>
        <w:t xml:space="preserve">All firms that perform or offer to perform lead-based paint activities must be certified by the department. Firms shall employ only appropriately certified employees to conduct lead-based paint activities, and the firm and its employees shall follow the work practice standards in </w:t>
      </w:r>
      <w:hyperlink r:id="rId4">
        <w:r>
          <w:rPr>
            <w:rStyle w:val="Hyperlink"/>
            <w:rFonts w:ascii="Times New Roman" w:hAnsi="Times New Roman"/>
            <w:b w:val="false"/>
            <w:i w:val="false"/>
            <w:color w:val="000000"/>
            <w:sz w:val="22"/>
          </w:rPr>
          <w:t>641—70.6(135)</w:t>
        </w:r>
      </w:hyperlink>
      <w:r>
        <w:rPr>
          <w:rFonts w:ascii="Times New Roman" w:hAnsi="Times New Roman"/>
          <w:b w:val="false"/>
          <w:i w:val="false"/>
          <w:color w:val="000000"/>
          <w:sz w:val="22"/>
        </w:rPr>
        <w:t xml:space="preserve"> for conducting lead-based paint activities. A firm must employ at least one certified individual in order to receive or maintain firm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70.7(1)</w:t>
      </w:r>
      <w:r>
        <w:rPr>
          <w:rFonts w:ascii="Times New Roman" w:hAnsi="Times New Roman"/>
          <w:b w:val="false"/>
          <w:i w:val="false"/>
          <w:color w:val="000000"/>
          <w:sz w:val="22"/>
        </w:rPr>
        <w:t> </w:t>
      </w:r>
      <w:r>
        <w:rPr>
          <w:rFonts w:ascii="Times New Roman" w:hAnsi="Times New Roman"/>
          <w:b w:val="false"/>
          <w:i w:val="false"/>
          <w:color w:val="000000"/>
          <w:sz w:val="22"/>
        </w:rPr>
        <w:t>A firm wishing to be certified shall apply to the department electronically in a format specified by the department or may apply using a paper application supplied by the department. The firm must submit: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the firm will employ only appropriately certified lead professionals to perform lead-based paint activities. In addition, the firm must document that the agency and its employees or contractors will follow the work practice standards in </w:t>
      </w:r>
      <w:hyperlink r:id="rId5">
        <w:r>
          <w:rPr>
            <w:rStyle w:val="Hyperlink"/>
            <w:rFonts w:ascii="Times New Roman" w:hAnsi="Times New Roman"/>
            <w:b w:val="false"/>
            <w:i w:val="false"/>
            <w:color w:val="000000"/>
            <w:sz w:val="22"/>
          </w:rPr>
          <w:t>641—70.6(135)</w:t>
        </w:r>
      </w:hyperlink>
      <w:r>
        <w:rPr>
          <w:rFonts w:ascii="Times New Roman" w:hAnsi="Times New Roman"/>
          <w:b w:val="false"/>
          <w:i w:val="false"/>
          <w:color w:val="000000"/>
          <w:sz w:val="22"/>
        </w:rPr>
        <w:t xml:space="preserve"> for conducting lead-based paint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certified firm must maintain all records required by </w:t>
      </w:r>
      <w:hyperlink r:id="rId6">
        <w:r>
          <w:rPr>
            <w:rStyle w:val="Hyperlink"/>
            <w:rFonts w:ascii="Times New Roman" w:hAnsi="Times New Roman"/>
            <w:b w:val="false"/>
            <w:i w:val="false"/>
            <w:color w:val="000000"/>
            <w:sz w:val="22"/>
          </w:rPr>
          <w:t>641—70.6(135)</w:t>
        </w:r>
      </w:hyperlink>
      <w:r>
        <w:rPr>
          <w:rFonts w:ascii="Times New Roman" w:hAnsi="Times New Roman"/>
          <w:b w:val="false"/>
          <w:i w:val="false"/>
          <w:color w:val="000000"/>
          <w:sz w:val="22"/>
        </w:rPr>
        <w:t>, with the exception of elevated blood lead (EBL) inspection reports, for three years. Certified firms that are also certified as elevated blood lead (EBL) inspection agencies must maintain elevated blood lead (EBL) inspection reports for at least 10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70.7(2)</w:t>
      </w:r>
      <w:r>
        <w:rPr>
          <w:rFonts w:ascii="Times New Roman" w:hAnsi="Times New Roman"/>
          <w:b w:val="false"/>
          <w:i w:val="false"/>
          <w:color w:val="000000"/>
          <w:sz w:val="22"/>
        </w:rPr>
        <w:t> </w:t>
      </w:r>
      <w:r>
        <w:rPr>
          <w:rFonts w:ascii="Times New Roman" w:hAnsi="Times New Roman"/>
          <w:b w:val="false"/>
          <w:i w:val="false"/>
          <w:color w:val="000000"/>
          <w:sz w:val="22"/>
        </w:rPr>
        <w:t>Firms must be recertified every three years. To be recertified, the firm must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the firm will employ only appropriately certified lead professionals to perform lead-based paint activities. In addition, the firm must document that the firm and its employees or contractors will follow the work practice standards in </w:t>
      </w:r>
      <w:hyperlink r:id="rId7">
        <w:r>
          <w:rPr>
            <w:rStyle w:val="Hyperlink"/>
            <w:rFonts w:ascii="Times New Roman" w:hAnsi="Times New Roman"/>
            <w:b w:val="false"/>
            <w:i w:val="false"/>
            <w:color w:val="000000"/>
            <w:sz w:val="22"/>
          </w:rPr>
          <w:t>641—70.6</w:t>
        </w:r>
      </w:hyperlink>
      <w:r>
        <w:rPr>
          <w:rFonts w:ascii="Times New Roman" w:hAnsi="Times New Roman"/>
          <w:b w:val="false"/>
          <w:i w:val="false"/>
          <w:color w:val="000000"/>
          <w:sz w:val="22"/>
        </w:rPr>
        <w:t>(135) for conducting lead-based paint activities.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8502B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 xml:space="preserve">; </w:t>
      </w:r>
      <w:r>
        <w:rPr>
          <w:rFonts w:ascii="Times New Roman" w:hAnsi="Times New Roman"/>
          <w:b/>
          <w:i w:val="false"/>
          <w:color w:val="000000"/>
          <w:sz w:val="16"/>
        </w:rPr>
        <w:t>ARC 3104C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 xml:space="preserve">; </w:t>
      </w:r>
      <w:r>
        <w:rPr>
          <w:rFonts w:ascii="Times New Roman" w:hAnsi="Times New Roman"/>
          <w:b/>
          <w:i w:val="false"/>
          <w:color w:val="000000"/>
          <w:sz w:val="16"/>
        </w:rPr>
        <w:t>ARC 5763C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41.70.6.pdf" Type="http://schemas.openxmlformats.org/officeDocument/2006/relationships/hyperlink" Id="rId4"/>
    <Relationship TargetMode="External" Target="https://www.legis.iowa.gov/docs/iac/rule/641.70.6.pdf" Type="http://schemas.openxmlformats.org/officeDocument/2006/relationships/hyperlink" Id="rId5"/>
    <Relationship TargetMode="External" Target="https://www.legis.iowa.gov/docs/iac/rule/641.70.6.pdf" Type="http://schemas.openxmlformats.org/officeDocument/2006/relationships/hyperlink" Id="rId6"/>
    <Relationship TargetMode="External" Target="https://www.legis.iowa.gov/docs/iac/rule/641.70.6.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