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641—70.6</w:t>
      </w:r>
      <w:r>
        <w:rPr>
          <w:rFonts w:ascii="Times New Roman" w:hAnsi="Times New Roman"/>
          <w:b/>
          <w:i w:val="false"/>
          <w:color w:val="000000"/>
          <w:sz w:val="22"/>
        </w:rPr>
        <w:t xml:space="preserve">(135) </w:t>
      </w:r>
      <w:r>
        <w:rPr>
          <w:rFonts w:ascii="Times New Roman" w:hAnsi="Times New Roman"/>
          <w:b/>
          <w:i w:val="false"/>
          <w:color w:val="000000"/>
          <w:sz w:val="22"/>
        </w:rPr>
        <w:t xml:space="preserve">Work practice standards for lead professionals conducting lead-based paint activities in target housing and child-occupied facilities. </w:t>
      </w:r>
      <w:r>
        <w:rPr>
          <w:rFonts w:ascii="Times New Roman" w:hAnsi="Times New Roman"/>
          <w:b w:val="false"/>
          <w:i w:val="false"/>
          <w:color w:val="000000"/>
          <w:sz w:val="22"/>
        </w:rPr>
        <w:t xml:space="preserve">All lead-based paint activities shall be performed according to the work practice standards in </w:t>
      </w:r>
      <w:hyperlink r:id="rId4">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and a certified individual must perform that activity in compliance with the appropriate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a lead-free inspection according to the following standards. A lead-free inspection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a residential dwelling,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shall test each testing combination in each room. On windows, the window frame, interior windowsill, window sash, and window trough shall each be considered a separate testing combination. Except for walls, one sample shall be taken for each testing combination in a room. Each wall in a room shall be tested. The certified lead inspector/risk assessor or elevated blood lead (EBL) inspector/risk assessor shall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certification under penalty of perjury per Iowa Code section </w:t>
      </w:r>
      <w:hyperlink r:id="rId5">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shall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note any components where lead-based paint has been enclosed or encapsulated. The certified lead inspector/risk assessor or elevated blood lead (EBL) inspector/risk assessor shall not make a determination that the residential dwelling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(XRF)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taking the final set of calibration readings and 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instructed by the property owner or the person requesting the report, the certified lead inspector/risk assessor or elevated blood lead (EBL) inspector/risk assessor may assume that inconclusive readings are positive, but shall not assume that inconclusive readings are negative.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As described by the performance characteristics sheet, the certified lead inspector/risk assessor or elevated blood lead (EBL) inspector/risk assessor shall conduct retesting of 10 surfaces, calculate the retest tolerance limit, and determine whether the inspection meets the retest tolerance limit. If the retest tolerance limit is not met, then this procedure shall be repeated with 10 additional surfaces. If the retest tolerance limit is not met with the 20 retested surfaces, then all results of the inspection shall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each testing combination in the residential dwelling is found to be free of lead-based paint, then the residential dwelling is free of lead-based paint. If any surface in the residential dwelling is found to be painted with lead-based paint, then the residential dwelling is not free of lead-based paint.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 lead-free inspection,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a lead-free inspection is completed. No later than three weeks after the receipt of laboratory results, the certified lead inspector/risk assessor or certified elevated blood lead (EBL) inspector/risk assessor shall send a copy of the report to the property owner and to the person requesting the lead-free inspection, if different. A certified lead inspector/risk assessor or a certified elevated blood lead (EBL) inspector/risk assessor shall maintain a copy of each written report for no less than three years. The report shall include, at least: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that the inspection was conducted to determine whether the residential dwelling is free of lead-based paint;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Date of inspection;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Each testing method and sampling procedure employed for paint analysis, including quality control data and, if used, the manufacturer, serial number, software, and operating mode of any X-ray fluorescence (XRF) device; </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The results of retesting of 10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If the certified lead inspector/risk assessor or certified elevated blood lead (EBL) inspector/risk assessor determines that the residential dwelling is free of lead-based paint, 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 paint was found on any building components, using the inspection protocol in Chapter 7 of the Guidelines for the Evaluation and Control of Lead-Based Paint Hazards in Housing ((2012), U.S. Department of Housing and Urban Development). Therefore, this residential dwelling qualifies for the exemption in 24 CFR Part 35 and 40 CFR Part 745 for target housing being leased that is free of lead-based paint, as defined in the rule. However, some painted surfaces may contain levels of lead below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which could create lead dust or lead-contaminated soil hazards if the paint is turned into dust by abrasion, scraping, or sanding. This report should be kept by the owner and all future owners for the life of the residential dwelling. Per the disclosure requirements of 24 CFR Part 35 and 40 CFR Part 745,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 xml:space="preserve">Information regarding Iowa’s prerenovation notification requirements found in </w:t>
      </w:r>
      <w:hyperlink r:id="rId6">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remodeling and repainting found in </w:t>
      </w:r>
      <w:hyperlink r:id="rId7">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8">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9">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conducting a lead-free inspection in multifamily housing,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residential dwellings for testing when conducting a lead-free inspection in multifamily housing. 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If the certified lead inspector/risk assessor or elevated blood lead (EBL) inspector/risk assessor does not randomly select the residential dwellings for testing or if there are not enough residential dwellings to randomly select them for sampling, all residential dwellings shall be tested. If random selection is used, the certified lead inspector/risk assessor or elevated blood lead (EBL) inspector/risk assessor conducting the lead-free inspection shall randomly select the residential dwellings to be tested. The property owner, manager, or another interested party shall not specify which residential dwellings are to be tested. The certified lead inspector/risk assessor or elevated blood lead (EBL) inspector/risk assessor shall use Table 1 to determine the number of residential dwellings to randomly select for testing.</w:t>
      </w:r>
    </w:p>
    <w:p>
      <w:pPr>
        <w:spacing w:before="60" w:after="0"/>
        <w:ind w:left="120"/>
        <w:jc w:val="center"/>
      </w:pPr>
      <w:r>
        <w:rPr>
          <w:rFonts w:ascii="Times New Roman" w:hAnsi="Times New Roman"/>
          <w:b w:val="false"/>
          <w:i w:val="false"/>
          <w:color w:val="000000"/>
          <w:sz w:val="22"/>
        </w:rPr>
        <w:t>Table 1</w:t>
      </w:r>
    </w:p>
    <w:p>
      <w:pPr>
        <w:spacing w:before="60" w:after="0"/>
        <w:ind w:left="120"/>
        <w:jc w:val="center"/>
      </w:pPr>
      <w:r>
        <w:rPr>
          <w:rFonts w:ascii="Times New Roman" w:hAnsi="Times New Roman"/>
          <w:b w:val="false"/>
          <w:i w:val="false"/>
          <w:color w:val="000000"/>
          <w:sz w:val="22"/>
        </w:rPr>
        <w:t>Minimum Number of Residential Dwellings to be Randomly Selected in Multifamily Housing for</w:t>
      </w:r>
    </w:p>
    <w:p>
      <w:pPr>
        <w:spacing w:before="60" w:after="0"/>
        <w:ind w:left="120"/>
        <w:jc w:val="center"/>
      </w:pPr>
      <w:r>
        <w:rPr>
          <w:rFonts w:ascii="Times New Roman" w:hAnsi="Times New Roman"/>
          <w:b w:val="false"/>
          <w:i w:val="false"/>
          <w:color w:val="000000"/>
          <w:sz w:val="22"/>
        </w:rPr>
        <w:t>Lead-Free Inspection, Risk Assessment, Lead Hazard Screen, or Clearance Testing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391"/>
        <w:gridCol w:w="3151"/>
        <w:gridCol w:w="3150"/>
        <w:gridCol w:w="2497"/>
      </w:tblGrid>
      <w:tr>
        <w:trPr>
          <w:trHeight w:val="405" w:hRule="atLeast"/>
        </w:trPr>
        <w:tc>
          <w:tcPr>
            <w:tcW w:w="2391"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Similar Residential Dwellings, Similar Common Areas, or Similar Exteriors in Multifamily Housing</w:t>
            </w:r>
          </w:p>
        </w:tc>
        <w:tc>
          <w:tcPr>
            <w:tcW w:w="0" w:type="auto"/>
            <w:gridSpan w:val="2"/>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Lead-Free Inspection, Risk Assessment,</w:t>
            </w:r>
          </w:p>
          <w:p>
            <w:pPr>
              <w:spacing w:before="0" w:after="0"/>
              <w:ind w:left="160"/>
              <w:jc w:val="center"/>
            </w:pPr>
            <w:r>
              <w:rPr>
                <w:rFonts w:ascii="Times New Roman" w:hAnsi="Times New Roman"/>
                <w:b w:val="false"/>
                <w:i w:val="false"/>
                <w:color w:val="000000"/>
                <w:sz w:val="16"/>
              </w:rPr>
              <w:t>or Lead Hazard Screen</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Clearance Testing</w:t>
            </w:r>
          </w:p>
        </w:tc>
      </w:tr>
      <w:tr>
        <w:trPr>
          <w:trHeight w:val="945" w:hRule="atLeast"/>
        </w:trPr>
        <w:tc>
          <w:tcPr>
            <w:tcW w:w="0" w:type="auto"/>
            <w:vMerge/>
            <w:tcBorders>
              <w:top w:val="nil"/>
              <w:bottom w:val="single" w:color="000000" w:sz="8"/>
              <w:right w:val="single" w:color="000000" w:sz="8"/>
            </w:tcBorders>
          </w:tcPr>
          <w:p/>
        </w:tc>
        <w:tc>
          <w:tcPr>
            <w:tcW w:w="315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Pre-1960 Residential Dwellings or Residential Dwellings of Unknown Date of Construction to Randomly Select for Testing</w:t>
            </w:r>
          </w:p>
        </w:tc>
        <w:tc>
          <w:tcPr>
            <w:tcW w:w="31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1960-1977 Residential Dwellings to Randomly Select for Testing</w:t>
            </w:r>
          </w:p>
        </w:tc>
        <w:tc>
          <w:tcPr>
            <w:tcW w:w="2497"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Number of Residential Dwellings to Randomly Select for Clearance Testing</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10-13</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300"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16-17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All</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21-26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33-34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38-39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40-48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49-50</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52-53</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55-56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57-58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22</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60-69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23</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70-73</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74-75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76-77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78-79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80-88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24</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89-95</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96-97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98-99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100-109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110-117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118-119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120-138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139-157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158-159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26</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160-177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178-197</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198-218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51</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219-258</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52</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259-279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280-299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53</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300-379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380-499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55</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500-776</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56</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777-939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28</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940-1004</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57</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1005-1022</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58</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1023-1032</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29</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r>
      <w:tr>
        <w:trPr>
          <w:trHeight w:val="225" w:hRule="atLeast"/>
        </w:trPr>
        <w:tc>
          <w:tcPr>
            <w:tcW w:w="239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1033-1039</w:t>
            </w:r>
          </w:p>
        </w:tc>
        <w:tc>
          <w:tcPr>
            <w:tcW w:w="315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c>
          <w:tcPr>
            <w:tcW w:w="315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2497"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59</w:t>
            </w:r>
          </w:p>
        </w:tc>
      </w:tr>
      <w:tr>
        <w:trPr>
          <w:trHeight w:val="570" w:hRule="atLeast"/>
        </w:trPr>
        <w:tc>
          <w:tcPr>
            <w:tcW w:w="239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1040+</w:t>
            </w:r>
          </w:p>
        </w:tc>
        <w:tc>
          <w:tcPr>
            <w:tcW w:w="3151"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rounded to the next highest whole number</w:t>
            </w:r>
          </w:p>
        </w:tc>
        <w:tc>
          <w:tcPr>
            <w:tcW w:w="315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2.9%, rounded to the next highest whole number</w:t>
            </w:r>
          </w:p>
        </w:tc>
        <w:tc>
          <w:tcPr>
            <w:tcW w:w="24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5.8%, rounded to the next highest whole number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elevated blood lead (EBL) inspector/risk assessor may randomly select each type of common area in the multifamily housing, including but not limited to hallways, exterior sides of a building, and laundry rooms, for testing. Each type of common area shall be counted separately. If built before 1960, the multifamily housing shall contain at least 20 of a type of common area in order to use random selection. If built from 1960 to 1977, the multifamily housing shall contain at least 10 of a type of common area in order to use random selection. If the certified lead inspector/risk assessor or elevated blood lead (EBL) inspector/risk assessor does not randomly select the common areas for testing or if there are not enough common areas to randomly select them for testing, all common areas shall be tested. The certified lead inspector/risk assessor or elevated blood lead (EBL) inspector/risk assessor shall use Table 1 to determine the number of each type of common area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in each room of each residential dwelling selected for testing and in each common area selected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Except for components known to have been replaced after December 31, 1977, the certified lead inspector/risk assessor or elevated blood lead (EBL) inspector/risk assessor shall test each testing combination in each room of a residential dwelling chosen for testing and in each common area chosen for testing. On windows, the window frame, interior windowsill, window sash, and window trough shall each be considered a separate testing combination. Each wall in a room or a common area shall be tested. The certified lead inspector/risk assessor or elevated blood lead (EBL) inspector/risk assessor shall require one of the following two types of evidence to determine that components were replaced after 1977:</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Detailed specifications showing which components were to be replaced, restored, enclosed, or encapsulated and evidence that the work was actually completed such as receipts for building materials, city building records showing a date of remodeling, or evidence of a final inspection by the city or another inspector showing that the work was actually completed.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certification under penalty of perjury per Iowa Code section </w:t>
      </w:r>
      <w:hyperlink r:id="rId10">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 xml:space="preserve"> from the contractor who did the work or from the person(s) who owned the property at the time outlining all of the components that were removed and replaced.</w:t>
      </w:r>
    </w:p>
    <w:p>
      <w:pPr>
        <w:spacing w:before="0" w:after="0"/>
        <w:ind w:left="120"/>
        <w:jc w:val="both"/>
      </w:pPr>
      <w:r>
        <w:rPr>
          <w:rFonts w:ascii="Times New Roman" w:hAnsi="Times New Roman"/>
          <w:b w:val="false"/>
          <w:i w:val="false"/>
          <w:color w:val="000000"/>
          <w:sz w:val="22"/>
        </w:rPr>
        <w:t>If one of these two types of evidence is not available, the certified lead inspector/risk assessor or elevated blood lead (EBL) inspector/risk assessor shall test the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note any components where lead-based paint has been enclosed or encapsulated. The certified lead inspector/risk assessor or elevated blood lead (EBL) inspector/risk assessor shall not make a determination that a component or the multifamily housing is lead-free where components that are painted with lead-based paint have been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must use an X-ray fluorescence analyzer which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not use an X-ray fluorescence analyzer using a software version or a mode of operation that could result in inconclusive readings or that recommends substrate correction.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inspector/risk assessor or elevated blood lead (EBL) inspector/risk assessor shall use standards provided by the manufacturer and the NIST 1.02 standard film for calibration of the X-ray fluorescence analyzer.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 every four hours, and at the end of the inspection.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certified lead inspector/risk assessor or elevated blood lead (EBL) inspector/risk assessor shall classify each XRF reading as positive or negative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certified lead inspector/risk assessor or elevated blood lead (EBL) inspector/risk assessor shall count the number of XRF readings taken for each component type. If fewer than 40 of any component type were tested, the certified lead inspector/risk assessor or elevated blood lead (EBL) inspector/risk assessor shall randomly choose additional testing combinations for the component type to reach a total of 40 XRF readings. If fewer than 40 testing combinations are available for testing, the certified lead inspector/risk assessor or elevated blood lead (EBL) inspector/risk assessor shall test each testing combination.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For each component type where at least 40 testing combinations have been tested, the certified lead inspector/risk assessor or elevated blood lead (EBL) inspector/risk assessor shall determine the number and percentage of each component type that is classified as positive or negative. The certified lead inspector/risk assessor or elevated blood lead (EBL) inspector/risk assessor shall classify each component type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Lead-based paint is not present on a component type if all readings are classified as negative.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Lead-based paint is present on a component type if at least 15 percent of the readings are classified as positive.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Lead-based paint is present on a component type if greater than or equal to 5 percent but less than 15 percent of the XRF readings are classified as positive, unless the certified lead inspector/risk assessor or elevated blood lead (EBL) inspector/risk assessor collects paint samples and obtains laboratory analyses for all positive XRF readings. If the laboratory analyses show that lead-based paint is not present on any components, then the component type is negative. If the laboratory analyses show that lead-based paint is present on any component, then the component type is positive.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Lead-based paint is present on a component type if greater than 0 but less than 5 percent of the XRF readings are classified as positive, unless the certified lead inspector/risk assessor or elevated blood lead (EBL) inspector/risk assessor collects paint samples and obtains laboratory analyses for all positive XRF readings or randomly selects a second set of residential dwellings for testing. If the laboratory analyses show that lead-based paint is not present on any components, then the component type is negative. If the laboratory analyses show that lead-based paint is present on any component, then the component type is positive. If a second set of randomly selected residential dwellings is sampled and greater than 0 but less than 2.5 percent of the combined set of results is positive, the component type may be considered as not having lead-based paint developmentwide but rather, having lead-based paint in isolated locations, with a reasonable degree of confidence. Individual components that are classified as positive should be considered lead-based painted and managed or abated appropriately.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a particular component type in the sampled residential dwellings is classified as positive, that same component type in the unsampled residential dwellings is also classified as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fewer than 40 of a component type are available for testing, each testing combination must be classified individually as positive or negative.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If any component type or individual component is classified as positive, then the certified lead inspector/risk assessor or elevated blood lead (EBL) inspector/risk assessor shall not state that the multifamily housing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As specified by the performance characteristics sheet, the certified lead inspector/risk assessor or elevated blood lead (EBL) inspector/risk assessor shall conduct retesting of 10 surfaces selected from two residential dwellings, calculate the retest tolerance limit, and determine whether the inspection meets the retest tolerance limit. If the retest tolerance limit is not met, then this procedure shall be repeated with 10 additional surfaces selected from the two residential dwellings. If the retest tolerance limit is not met with the 20 retested surfaces, then all results of the inspection shall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on any component or component type,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 A certified lead inspector/risk assessor or a certified elevated blood lead (EBL) inspector/risk assessor shall prepare a written report for each residential dwelling or child-occupied facility inspected. No later than three weeks after the receipt of laboratory results, the certified lead inspector/risk assessor or certified elevated blood lead (EBL) inspector/risk assessor shall send a copy of the report to the property owner and to the person requesting the inspection, if different. A certified lead inspector/risk assessor or a certified elevated blood lead (EBL) inspector/risk assessor shall maintain a copy of each written report for no less than three years. The inspection report shall include, at least: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Address of each building in the multifamily housing;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Date of construction for each building in the multifamily housing;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of the apartments and common areas in each building in the multifamily housing;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statement that the inspection was conducted to determine that lead-based paint is not present;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of the Iowa-certified inspector/risk assessor or elevated blood lead (EBL) inspector/risk assessor who randomly selected the residential dwellings and common areas for testing;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number of residential dwellings and common areas that were selected for testing, how these numbers were determined, and a list of the residential dwellings and common areas that were selected for testing;</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XRF readings taken for calibration and calculations to demonstrate that the XRF is properly calibrated at each required calibration;</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Specific locations by room of each painted component tested for the presence of lead-based paint and by residential dwelling or common area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15.   </w:t>
      </w:r>
      <w:r>
        <w:rPr>
          <w:rFonts w:ascii="Times New Roman" w:hAnsi="Times New Roman"/>
          <w:b w:val="false"/>
          <w:i w:val="false"/>
          <w:color w:val="000000"/>
          <w:sz w:val="22"/>
        </w:rPr>
        <w:t>Component aggregations and the determination of whether lead-based paint is present by component type;</w:t>
      </w:r>
    </w:p>
    <w:p>
      <w:pPr>
        <w:spacing w:before="0" w:after="0"/>
        <w:ind w:left="120"/>
        <w:jc w:val="both"/>
      </w:pPr>
      <w:r>
        <w:rPr>
          <w:rFonts w:ascii="Times New Roman" w:hAnsi="Times New Roman"/>
          <w:b w:val="false"/>
          <w:i w:val="false"/>
          <w:color w:val="000000"/>
          <w:sz w:val="22"/>
        </w:rPr>
        <w:t>     16.   </w:t>
      </w:r>
      <w:r>
        <w:rPr>
          <w:rFonts w:ascii="Times New Roman" w:hAnsi="Times New Roman"/>
          <w:b w:val="false"/>
          <w:i w:val="false"/>
          <w:color w:val="000000"/>
          <w:sz w:val="22"/>
        </w:rPr>
        <w:t>The results of retesting of 10 surfaces, calculations to determine the retest tolerance limit, and the determination of whether the inspection meets the retest tolerance limit;</w:t>
      </w:r>
    </w:p>
    <w:p>
      <w:pPr>
        <w:spacing w:before="0" w:after="0"/>
        <w:ind w:left="120"/>
        <w:jc w:val="both"/>
      </w:pPr>
      <w:r>
        <w:rPr>
          <w:rFonts w:ascii="Times New Roman" w:hAnsi="Times New Roman"/>
          <w:b w:val="false"/>
          <w:i w:val="false"/>
          <w:color w:val="000000"/>
          <w:sz w:val="22"/>
        </w:rPr>
        <w:t>     17.   </w:t>
      </w:r>
      <w:r>
        <w:rPr>
          <w:rFonts w:ascii="Times New Roman" w:hAnsi="Times New Roman"/>
          <w:b w:val="false"/>
          <w:i w:val="false"/>
          <w:color w:val="000000"/>
          <w:sz w:val="22"/>
        </w:rPr>
        <w:t>If the certified lead inspector/risk assessor or certified elevated blood lead (EBL) inspector/risk assessor determines that the multifamily housing is free of lead-based paint, 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results of this inspection indicate that no lead in amounts greater than or equal to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in paint was found on any building components, using the inspection protocol in Chapter 7 of the Guidelines for the Evaluation and Control of Lead-Based Paint Hazards in Housing ((2012), U.S. Department of Housing and Urban Development). Therefore, this multifamily housing qualifies for the exemption in 24 CFR Part 35 and 40 CFR Part 745 for target housing being leased that is free of lead-based paint, as defined in the rule. However, some painted surfaces may contain levels of lead below 1.0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which could create lead dust or lead-contaminated soil hazards if the paint is turned into dust by abrasion, scraping, or sanding. This report should be kept by the owner and all future owners for the life of the multifamily housing. Per the disclosure requirements of 24 CFR Part 35 and 40 CFR Part 745, prospective buyers are entitled to all available inspection reports should the property be resold.”;</w:t>
      </w:r>
    </w:p>
    <w:p>
      <w:pPr>
        <w:spacing w:before="0" w:after="0"/>
        <w:ind w:left="120"/>
        <w:jc w:val="both"/>
      </w:pPr>
      <w:r>
        <w:rPr>
          <w:rFonts w:ascii="Times New Roman" w:hAnsi="Times New Roman"/>
          <w:b w:val="false"/>
          <w:i w:val="false"/>
          <w:color w:val="000000"/>
          <w:sz w:val="22"/>
        </w:rPr>
        <w:t>     18.   </w:t>
      </w:r>
      <w:r>
        <w:rPr>
          <w:rFonts w:ascii="Times New Roman" w:hAnsi="Times New Roman"/>
          <w:b w:val="false"/>
          <w:i w:val="false"/>
          <w:color w:val="000000"/>
          <w:sz w:val="22"/>
        </w:rPr>
        <w:t>If any lead-based paint is identified, 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19.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20.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21.   </w:t>
      </w:r>
      <w:r>
        <w:rPr>
          <w:rFonts w:ascii="Times New Roman" w:hAnsi="Times New Roman"/>
          <w:b w:val="false"/>
          <w:i w:val="false"/>
          <w:color w:val="000000"/>
          <w:sz w:val="22"/>
        </w:rPr>
        <w:t xml:space="preserve">Information regarding Iowa’s prerenovation notification requirements found in </w:t>
      </w:r>
      <w:hyperlink r:id="rId11">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12">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22.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13">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14">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lead inspections according to the following standards. Lead inspections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inspection in a residential dwelling or child-occupied facility,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each testing combination in each room. On windows, the window frame, interior windowsill, window sash, and window trough shall each be considered a separate testing combination. One sample shall be taken for each testing combination in a room, including the walls. If a testing combination is painted and not tested, it shall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elevated blood lead (EBL) inspector/risk assessor shall use an X-ray fluorescence analyzer that has a performance characteristics sheet and shall use the X-ray fluorescence analyzer according to the performance characteristics sheet.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NIST 1.02 standard film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inspection,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inspected. No later than three weeks after the receipt of laboratory results, the certified lead inspector/risk assessor or certified elevated blood lead (EBL) inspector/risk assessor shall send a copy of the report to the property owner and to the person requesting the inspection, if different. A certified lead inspector/risk assessor or a certified elevated blood lead (EBL) inspector/risk assessor shall maintain a copy of each written report for no less than three years. The inspection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15">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16">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17">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18">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70.6(3)</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must conduct elevated blood lead (EBL) inspections according to the following standards. Elevated blood lead (EBL) inspections shall be conducted only by a certified elevated blood lead (EBL) inspector/risk assessor. This protocol may be used for children who do not meet the definition of an EBL child as defined in this chapter as long as the inspection is authorized by the department, a local board of health, or a public housing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an elevated blood lead (EBL) inspection, the certified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test paint in each room, including each exterior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test each testing combination in each room. One sample shall be taken for each testing combination in a room, including walls. On windows, the window frame, interior windowsill, window sash, and window trough shall each be considered a separate testing combination. If a testing combination is painted and not tested, it shall be assumed to be painted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elevated blood lead (EBL) inspector/risk assessor shall collect paint samples using the documented methodologies specified in guidance documents issued by the department. If testing by X-ray fluorescence, the certified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use the NIST 1.02 standard film or standards provided by the manufacturer for calibration of the X-ray fluorescence analyzer. The certified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elevated blood lead (EBL) inspector/risk assessor shall conduct substrate correction for all XRF readings less than 4.0 milligrams of lead per square centimeter. For each substrate that requires substrate correction, the certified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elevated blood lead (EBL) inspector/risk assessor shall remove paint from an area that is at least as large as the XRF probe faceplate. On each of the two areas, the certified elevated blood lead (EBL) inspector/risk assessor shall place the NIST 1.02 standard film over the surface, and take three XRF readings with the XRF used to conduct the inspection. The certified elevated blood lead (EBL) inspector/risk assessor shall calculate the arithmetic mean for these six readings and shall subtract 1.02 from this arithmetic mean to obtain the substrate correction value. The certified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elevated blood lead (EBL) inspector/risk assessor does not conduct substrate correction where recommended by the performance characteristics sheet, then the certified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elevated blood lead (EBL) inspector/risk assessor may assume that all inconclusive readings are positive and classify them as such.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elevated blood lead (EBL) inspector/risk assessor shall resolve inconclusive readings as defined by the performance characteristics sheet for the XRF by collecting paint samples for laboratory analysis. If the certified elevated blood lead (EBL) inspector/risk assessor does not resolve inconclusive readings, then the certified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an elevated blood lead (EBL) inspection, the certified elevated blood lead (EBL) inspector/risk assessor must conduct a visual inspection to determine the presence of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later than two weeks after the receipt of laboratory results, a certified elevated blood lead (EBL) inspector/risk assessor shall prepare a written report for each residential dwelling or child-occupied facility where an elevated blood lead (EBL) inspection has been conducted and shall provide a copy of this report to the property owner and the occupant of the dwelling.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elevated blood lead (EBL) inspection was conducted to identify lead-based paint and lead-based paint hazards in the residential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each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elevated blood lead (EBL) inspector/risk assessor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19">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20">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an elevated blood lead (EBL) inspector/risk assessor certified according to Iowa Administrative Code </w:t>
      </w:r>
      <w:hyperlink r:id="rId21">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22">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certified elevated blood lead (EBL) inspector/risk assessor shall maintain for no fewer than ten years a written record for each residential dwelling or child-occupied facility where an elevated blood lead (EBL) inspection has been conducted. The record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written report required by paragraph </w:t>
      </w:r>
      <w:hyperlink r:id="rId23">
        <w:r>
          <w:rPr>
            <w:rStyle w:val="Hyperlink"/>
            <w:rFonts w:ascii="Times New Roman" w:hAnsi="Times New Roman"/>
            <w:b w:val="false"/>
            <w:i w:val="false"/>
            <w:color w:val="000000"/>
            <w:sz w:val="22"/>
          </w:rPr>
          <w:t>70.6(3)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Blood lead test results for the elevated blood lead (EBL)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conversations held with the owners and occupants of each residential dwelling or child-occupied facility prior to, during, and after the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follow-up visits made to each residential dwelling or child-occupied facility where lead-based paint hazards are identified and, when issued,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70.6(4)</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lead hazard screens according to the following standards. Lead hazard screens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shall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residential dwelling or child-occupied facility shall be conducted to determine if any deteriorated paint is present and to locate at least two dust sampling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which is determined to have a distinct painting history must be tested for the presence of lead. In addition, friction surfaces where there is evidence of abrasion and impact surfaces that are damaged or otherwise deteriorated from impact and that have a distinct painting history shall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a minimum of two composite or single-surface dust samples shall be collected. One sample shall be collected from the floors and the other from the interior windowsills in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and child-occupied facilities, single-surface or composite dust samples shall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Soil samples shall be collected and analyzed for lead content in exterior play areas and dripline areas where bare soil is present. In addition, soil samples shall be collected and analyzed for lead content from any other areas of the yard where bare soil is present. Soil and paint samples shall be collected using the documented methodologies specified in guidance documents issued by the department and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National Institute of Standards and Technology 1.02 milligrams of lead per square centimeter standard reference material or standards provided by the manufacturer for calibration of the X-ray fluorescence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whether a residential dwelling or child-occupied facility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shall fail a lead hazard screen if any deteriorated paint or paint on friction or impact surfaces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shall fail a lead hazard screen if any floor dust lead level in a single- surface or composite-surface dust sample is greater than or equal to 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shall fail a lead hazard screen if any interior windowsill dust level in a single-surface or composite-surface dust sample is greater than or equal to 125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residential dwelling or child-occupied facility shall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conducting a lead hazard screen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The certified lead inspector/risk assessor or elevated blood lead (EBL) inspector/risk assessor shall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 Residential dwellings chosen by targeted selection shall meet as many of the following criteria as possible: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shall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If additional residential dwellings are needed to meet the minimum number specified in Table 2, the certified lead inspector/risk assessor or elevated blood lead (EBL) inspector/risk assessor shall select them randomly. If too many residential dwellings meet the criteria, residential dwellings shall be eliminated randomly.</w:t>
      </w:r>
    </w:p>
    <w:p>
      <w:pPr>
        <w:spacing w:before="60" w:after="0"/>
        <w:ind w:left="120"/>
        <w:jc w:val="center"/>
      </w:pPr>
      <w:r>
        <w:rPr>
          <w:rFonts w:ascii="Times New Roman" w:hAnsi="Times New Roman"/>
          <w:b w:val="false"/>
          <w:i w:val="false"/>
          <w:color w:val="000000"/>
          <w:sz w:val="22"/>
        </w:rPr>
        <w:t>Table 2</w:t>
      </w:r>
    </w:p>
    <w:p>
      <w:pPr>
        <w:spacing w:before="60" w:after="0"/>
        <w:ind w:left="120"/>
        <w:jc w:val="center"/>
      </w:pPr>
      <w:r>
        <w:rPr>
          <w:rFonts w:ascii="Times New Roman" w:hAnsi="Times New Roman"/>
          <w:b w:val="false"/>
          <w:i w:val="false"/>
          <w:color w:val="000000"/>
          <w:sz w:val="22"/>
        </w:rPr>
        <w:t>Minimum Number of Residential Dwellings in Multifamily Housing for Risk Assessment</w:t>
      </w:r>
    </w:p>
    <w:p>
      <w:pPr>
        <w:spacing w:before="60" w:after="0"/>
        <w:ind w:left="120"/>
        <w:jc w:val="center"/>
      </w:pPr>
      <w:r>
        <w:rPr>
          <w:rFonts w:ascii="Times New Roman" w:hAnsi="Times New Roman"/>
          <w:b w:val="false"/>
          <w:i w:val="false"/>
          <w:color w:val="000000"/>
          <w:sz w:val="22"/>
        </w:rPr>
        <w:t>or Lead Hazard Screen Through Targeted Selection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675"/>
        <w:gridCol w:w="7515"/>
      </w:tblGrid>
      <w:tr>
        <w:trPr>
          <w:trHeight w:val="40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Similar Residential Dwellings</w:t>
            </w:r>
          </w:p>
        </w:tc>
        <w:tc>
          <w:tcPr>
            <w:tcW w:w="751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Number of Residential Dwellings to Sample*</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1-4</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All</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5-20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 residential dwellings or 50% (whichever is greater)**</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21-75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10 residential dwellings or 20% (whichever is greater)**</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76-125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17</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126-175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19</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176-225</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20</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226-300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21</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301-400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22</w:t>
            </w:r>
          </w:p>
        </w:tc>
      </w:tr>
      <w:tr>
        <w:trPr>
          <w:trHeight w:val="225" w:hRule="atLeast"/>
        </w:trPr>
        <w:tc>
          <w:tcPr>
            <w:tcW w:w="367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401-500</w:t>
            </w:r>
          </w:p>
        </w:tc>
        <w:tc>
          <w:tcPr>
            <w:tcW w:w="7515"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23</w:t>
            </w:r>
          </w:p>
        </w:tc>
      </w:tr>
      <w:tr>
        <w:trPr>
          <w:trHeight w:val="405" w:hRule="atLeast"/>
        </w:trPr>
        <w:tc>
          <w:tcPr>
            <w:tcW w:w="3675" w:type="dxa"/>
            <w:tcBorders>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501+</w:t>
            </w:r>
          </w:p>
        </w:tc>
        <w:tc>
          <w:tcPr>
            <w:tcW w:w="7515"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24 + 1 residential dwelling for each additional increment of 100 residential dwellings or less</w:t>
            </w:r>
          </w:p>
        </w:tc>
      </w:tr>
    </w:tbl>
    <w:p>
      <w:pPr>
        <w:spacing w:before="0" w:after="0"/>
        <w:ind w:left="120"/>
        <w:jc w:val="both"/>
      </w:pPr>
      <w:r>
        <w:rPr>
          <w:rFonts w:ascii="Times New Roman" w:hAnsi="Times New Roman"/>
          <w:b w:val="false"/>
          <w:i w:val="false"/>
          <w:color w:val="000000"/>
          <w:sz w:val="22"/>
        </w:rPr>
        <w:t>*Does not include residential dwellings housing children with elevated blood lead levels.</w:t>
      </w:r>
    </w:p>
    <w:p>
      <w:pPr>
        <w:spacing w:before="0" w:after="0"/>
        <w:ind w:left="120"/>
        <w:jc w:val="both"/>
      </w:pPr>
      <w:r>
        <w:rPr>
          <w:rFonts w:ascii="Times New Roman" w:hAnsi="Times New Roman"/>
          <w:b w:val="false"/>
          <w:i w:val="false"/>
          <w:color w:val="000000"/>
          <w:sz w:val="22"/>
        </w:rPr>
        <w:t>**For percentages, round up to determine number of residential dwellings to be sampled.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whether multifamily housing fails a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calculate the arithmetic mean of the dust lead levels for carpeted floors, uncarpeted floors, and interior windowsills. If the arithmetic mean for carpeted floors or uncarpeted floors is greater than or equal to 25 micrograms per square foot, the multifamily housing shall fail the lead hazard screen. If the arithmetic mean for interior windowsills is greater than or equal to 125 micrograms per square foot, the multifamily housing shall fail the lead hazard screen. If the arithmetic mean for carpeted floors or uncarpeted floors is less than 25 micrograms per square foot, but some of the samples have dust lead levels that are greater than or equal to 25 micrograms per square foot, then the residential dwellings where these samples were taken and all other similar residential dwellings in the multifamily housing shall fail the lead hazard screen. If the arithmetic mean for interior windowsills is less than 125 micrograms per square foot, but some of the samples have dust lead levels that are greater than or equal to 125 micrograms per square foot, then the residential dwellings where these samples were taken and all other similar residential dwellings in the multifamily housing shall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shall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shall assume that the component is a lead-based paint hazard in all similar residential dwellings. If a component in a residential dwelling is determined or assumed to be lead-based paint, then the entire group of similar residential dwellings in the multifamily housing shall fail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Multifamily housing shall fail a lead hazard screen if any bare soil is found to be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a lead hazard screen is conducted. No later than three weeks after the receipt of laboratory results, the certified lead inspector/risk assessor or certified elevated blood lead (EBL) inspector/risk assessor shall send a copy of the report to the property owner and to the person requesting the lead hazard screen, if different. A certified lead inspector/risk assessor or a certified elevated blood lead (EBL) inspector/risk assessor shall maintain a copy of each written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 The results of dust sampling shall be reported in micrograms of lead per square foot, and the results of soil sampling shall be reported in parts per million of lead. Results shall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Whether the residential dwelling or child-occupied facility passed or failed the lead hazard screen and recommendations, if warranted, for a follow-up lead inspection or risk assessment, and, as appropriate, any further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24">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25">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26">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27">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70.6(5)</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risk assessments according to the following standards. Risk assessments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shall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shall be undertaken to locate the existence of deteriorated paint and other potential lead hazards and to assess the extent and causes of the paint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deteriorated paint is present, each surface with deteriorated paint which is determined to have a distinct painting history must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Friction surfaces where there is evidence of abrasion and impact surfaces that are damaged or otherwise deteriorated from impact and that have a distinct painting history shall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dust samples shall be collected from the interior windowsill, window trough, and floor in all living areas where at least one child is most likely to come in contact with dust. Dust samples shall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dust samples shall also be collected from interior windowsills, window troughs, and floors in common areas adjacent to the sampled residential dwellings or child-occupied facility and in other common areas where the certified lead inspector/risk assessor or certified elevated blood lead (EBL) inspector/risk assessor determines that at least one child under the age of six years is likely to come in contact with dust. Dust samples shall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dust samples shall be collected from the interior windowsill, window trough, and floor in each room, hallway, or stairwell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 Dust samples shall be analyzed for lead concentration and may be either composite or single-surface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samples shall be collected and analyzed for lead content in exterior play areas and dripline areas where bare soil is present. In addition, soil samples shall be collected and analyzed for lead content from any other areas of the yard where bare soil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The minimum area for a windowsill wipe sample and for a window trough wipe sample shall be 0.25 square feet. Soil and paint samples shall be collected using the documented methodologies specified in guidance documents issued by the department. Dust and soil samples shall be analyzed by a recognized laboratory to determine the level of lead. The results of dust sampling shall be reported in micrograms of lead per square foot, and the results of soil sampling shall be reported in parts per million of lead. The results shall not be reported as “not detectable.”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NIST 1.02 standard film material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conducting a risk assessment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The certified lead inspector/risk assessor or elevated blood lead (EBL) inspector/risk assessor shall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targeted selection. If using targeted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 Residential dwellings chosen by targeted selection shall meet as many of the following criteria as possible. If additional residential dwellings are needed to meet the minimum number specified in Table 2, the certified lead inspector/risk assessor or elevated blood lead (EBL) inspector/risk assessor shall select them randomly. If too many residential dwellings meet the criteria, residential dwellings shall be eliminated randomly. Targeted selection criteria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shall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residential dwelling serves as a day care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five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shall use Table 2 to determine the number of residential dwellings to test. If the multifamily housing has fewer than five similar dwellings, all residential dwellings shall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calculate the arithmetic mean of the dust lead levels for carpeted floors, uncarpeted floors, interior windowsills, and window troughs. If the arithmetic mean is greater than or equal to the level defined as a dust lead hazard for the component, then the certified lead inspector/risk assessor or elevated blood lead (EBL) inspector/risk assessor shall determine that a dust lead hazard has been identified on the component throughout the multifamily housing. If the arithmetic mean is less than the level defined as a dust lead hazard for the component, but some of the individual components have dust lead levels that are greater than or equal to the level defined as a dust lead hazard, then the certified lead inspector/risk assessor or elevated blood lead (EBL) inspector/risk assessor shall determine that a dust 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evaluate the results of paint sampling by component and location. If all components at a given location are determined to be painted with lead-based paint or are determined to not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shall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shall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a risk assessment is conducted. No later than three weeks after the receipt of laboratory results, the certified lead inspector/risk assessor or certified elevated blood lead (EBL) inspector/risk assessor shall send a copy of the report to the property owner and to the person requesting the risk assessment, if different. A certified lead inspector/risk assessor or a certified elevated blood lead (EBL) inspector/risk assessor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used, 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tested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All results of laboratory analysis of collected paint, dust, and soil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Any other sampling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collected regarding the physical characteristics of the residential dwelling or child-occupied facility and occupant use patterns that may cause lead-based paint exposure to at least one child under the age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To the extent that they are used as part of the lead-based paint hazard determination, the results of any previous inspections or analyses for the presence of lead-based paint, or other assessments of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and any other potential lead hazards, including bare soil in the play area or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28">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29">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30">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31">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70.6(6)</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certified lead abatement worker must conduct lead abatement according to the following standards. Lead abatement shall be conducted only by a certified lead abatement contractor or a certified lead abatement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must be on site during all work site preparation and during the postabatement cleanup of work areas. At all other times when lead abatement is being conducted, the certified lead abatement contractor shall be on site or available by telephone, pager, or answering service, and be able to be present at the work 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shall ensure that lead abatement is conducted according to all federal, state, and local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shall notify the department in writing at least seven days prior to the commencement of lead abatement in a residential dwelling or child-occupied facility. The notification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including apartment numbers, where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dates when lead abatement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contact for the certified firm that will conduct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Iowa certification number, and signature of the certified lead abatement contractor who will serve as the contact person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dwelling is owner-occupied or a rental dwelling.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the dwelling is an occupied rental, the names of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approximate year that the dwelling was built.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lead abatement work to be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shall submit a revised notification to the department if any information in the original notification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abatement contractor shall ensure that the worksite(s) is accessed only by certified lead professionals according to Iowa Administrative Code </w:t>
      </w:r>
      <w:hyperlink r:id="rId32">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33">
        <w:r>
          <w:rPr>
            <w:rStyle w:val="Hyperlink"/>
            <w:rFonts w:ascii="Times New Roman" w:hAnsi="Times New Roman"/>
            <w:b w:val="false"/>
            <w:i w:val="false"/>
            <w:color w:val="000000"/>
            <w:sz w:val="22"/>
          </w:rPr>
          <w:t>641—70.5</w:t>
        </w:r>
      </w:hyperlink>
      <w:r>
        <w:rPr>
          <w:rFonts w:ascii="Times New Roman" w:hAnsi="Times New Roman"/>
          <w:b w:val="false"/>
          <w:i w:val="false"/>
          <w:color w:val="000000"/>
          <w:sz w:val="22"/>
        </w:rPr>
        <w:t>(135). Noncertified individuals shall not be allowed access to a worksite. A worksite shall remain inaccessible to noncertified individuals until it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or a certified project designer shall develop a written occupant protection plan for all lead abatement projects prior to starting lead abatement and shall implement the occupant protection plan during the lead abatement project. The occupant protection plan shall be unique to each residential dwelling or child-occupied facility. If the occupants will be living at the property where lead abatement is taking place, then the written occupant plan shall be given to the occupants prior to the start date of the lead abatement project and must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and location of the physical barriers that will keep occupants out of the designated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worksite(s) is not entered by the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contractor will ensure that the occupants have access to a kitchen, bathroom, and living area that are not in the worksite(s).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Approved methods must be used to conduct lead abatement, and prohibited work practices must not be used to conduct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Signs must be posted and readable. All signs must be posted before lead abatement begins and must remain in place until dust-lead clearance has been passed.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the extent practicable, all signage must be posted in the occupants’ primary language.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signs must clearly define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signs must warn occupants and other persons not involved with the lead abatement to remain outside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signs must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 area must be effectively contained before the lead abatement begins. To be effective, containment must: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Isolate the work area so that no dust or debris leaves the work area while the lead abatement is being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interior lead abatement,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or covering of all objects from the work area, including but not limited to furniture, rugs, and window coverings. Objects that are not removed from the work area must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Closing and covering all duct openings in the work area. Ducts must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Closing windows and doors in the work area. Doors must be covered with plastic sheeting or other impermeable material. Doors used as an entrance to the work area must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lead abatement or a sufficient distance to contain the dust, whichever is greater.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exterior lead abatement,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Closing all doors and windows within 20 feet of the lead abatement. On multistory buildings, all doors and windows within 20 feet of the lead abatement on the same story as the lead abatement shall be closed, and all doors and windows on all stories below the lead abatement that are the same horizontal distance from the lead abatement shall be closed.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Ensuring that doors within the work areas that will be used while the lead abatement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Covering the ground with plastic sheeting or other disposable impermeable material extending 10 feet beyond the perimeter of surfaces undergoing lead abatement or a sufficient distance to collect falling paint debris, whichever is greater, unless the property line prevents 10 feet of such ground cover. Exterior ground cover shall include anchors or weights to ensure that the covering remains effective even during weather conditions such as high wind.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or certified lead abatement worker shall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are prohibited work practices: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Open-flame burning or torching of lead-based paint.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Machine sanding or grinding or abrasive blasting or sandblasting of lead-based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Uncontained water blasting of lead-based paint.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Dry scraping or dry sanding of lead-based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lead abatement shall be contained to prevent the release of dust and debris before the waste is removed from the work area for storage or disposal. Any chutes used to remove waste from the work area shall be covered.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conclusion of each workday and at the conclusion of the lead abatement, waste that has been collected from lead abatement activities must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waste from lead abatement must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work area shall be cleaned so that no dust, debris, or residue remains after lead abatement. Cleaning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removal of the protective sheeting used as required in this subrule. The sheeting shall be misted, then the sheeting shall be folded dirty side inward. All sheeting shall be taped shut or otherwise sealed inside heavy-duty bags. Sheeting used to separate work areas from non-work areas must remain in place until after the cleaning and removal of other sheeting. All sheeting shall be disposed of as waste.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interior lead abatement, all objects and surfaces in the work area and within two feet of the work area must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must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must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must also be wiped with a damp cloth. Uncarpeted floors must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Soil abatement shall be conducted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soil is removed, soil that is a soil-lead hazard shall be replaced by soil with a lead concentration as close to the local background as practicable, but less than 400 parts per million. The soil that is removed shall not be used as topsoil at another residential property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soil is not removed, the soil that is a soil-lead hazard shall be remediated to meet the definition of “permanently covered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lead-based paint is removed from a surface, the surface shall be repainted or refinished prior to postabatement clearance dust sampling. A certified lead inspector/risk assessor or a certified elevated blood lead (EBL) inspector/risk assessor shall visually verify that lead-based paint was removed from a surface prior to repainting or refinishing.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components painted with lead-based paint are removed, the replacement components shall be installed prior to postabatement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Postabatement clearance procedures shall be conducted by a certified lead inspector/risk assessor or a certified elevated blood lead (EBL) inspector/risk assessor. If the abatement is conducted in response to an elevated blood lead (EBL) inspection, clearance must be conducted by a certified elevated blood lead (EBL) inspector/risk assessor. Postabatement clearance testing shall be performed by persons or entities independent of those performing lead abatement, unless the designated party uses qualified in-house employees to conduct postabatement clearance testing. An in-house employee shall not conduct both lead abatement and the postabatement clearance testing for this work. Postabatement clearance testing shall be conducted using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a lead abatement, the certified lead inspector/risk assessor or certified elevated blood lead (EBL) inspector/risk assessor shall review the report of the lead inspection, risk assessment, or visual assessment done prior to the lead abatement project and the lead abatement specifications to determine the lead-based paint hazards that were to be abated by the lead abatement project. The certified lead inspector/risk assessor or certified elevated blood lead (EBL) inspector/risk assessor shall perform a visual inspection to determine if all lead-based paint hazards that were to be abated have been abated and to determine if deteriorated paint surfaces or visible amounts of dust, debris, or residue are still present in the rooms where lead abatement was conducted. If lead-based paint hazards that were to be abated by the project or deteriorated paint surfaces or visible amounts of dust, debris, or residue are present in the rooms where lead abatement was conducted, these conditions must be eliminated prior to the continuation of the clearance procedures. However, elimination of deteriorated paint is not required if it has been determined through paint testing or a lead-based paint inspection that the deteriorated paint is not lead-based paint. Following an exterior lead abatement, a visual inspection shall be conducted to determine if all lead-based paint hazards that were to be abated have been abated and to determine if any visible dust or debris remains on any horizontal surfaces in the outdoor living areas close to the abated surface. In addition, a visual inspection shall be conducted to determine the presence of paint chips on the dripline or next to the foundation below any exterior surface that was abated. If lead-based paint hazards that were to be abated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postabatement cleanup, the certified lead inspector/risk assessor or certified elevated blood lead (EBL) inspector/risk assessor shall conduct clearance sampling for lead in dust. Clearance sampling may be conducted by employing single-surface sampling or composite dust sampling. Interior dust-lead testing shall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a minimum of one hour after the completion of final postabatement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postabatement clearance activities shall be conducted as appropriate based upon the extent or manner of lead abatement activities conducted in the residential dwelling or child-occupied facility: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After conducting a lead abatement with containment between abated and unabated areas, three dust samples shall be taken from each of no fewer than four rooms, hallways, or stairwells within the containment area. Dust samples shall be taken from one interior windowsill and from one window trough (if available), and one dust sample shall be taken from the floor of each of no fewer than four rooms, hallways, or stairwells within the containment area. In addition, one dust sample shall be taken from the floor outside of each individual containment area. If there are fewer than four rooms, hallways, or stairwells within the containment area, then all rooms, hallways, and stairwells shall be sampled.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conducting a lead abatement with no containment between abated and unabated areas, three dust samples shall be taken from each of no fewer than four rooms, hallways, or stairwells in the residential dwelling or child-occupied facility. Dust samples shall be taken from one interior windowsill and from one window trough (if available), and one dust sample shall be taken from the floor of each room, hallway, or stairwell selected. If there are fewer than four rooms, hallways, or stairwells in the residential dwelling or child-occupied facility, then all rooms, hallways, and stairwells shall be sampled.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abatement contractors and certified lead abatement workers who abate or clean the dwellings shall not have any knowledge of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shall be recleaned. Additional clearance samples shall be taken from the failed component in each room where it failed and from enough additional rooms that were not previously tested so that four rooms are sampled. If four rooms are not available, then each available room shall be retested. The certified lead inspector/risk assessor or certified elevated blood lead (EBL) inspector/risk assessor shall evaluate the results of this testing to determine if the recleaned components meet the clearance level. The components must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shall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randomly select the residential dwellings that will be sampled. The certified lead abatement contractors and certified lead abatement workers who abate or clean the dwellings do not know which residential dwellings will be selected for the random selection or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use Table 1 to determine the minimum number of residential dwellings selected for dust sampling. This shall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shall sample the randomly selected residential dwellings and evaluate them for clearance according to the procedures found in paragraphs </w:t>
      </w:r>
      <w:hyperlink r:id="rId34">
        <w:r>
          <w:rPr>
            <w:rStyle w:val="Hyperlink"/>
            <w:rFonts w:ascii="Times New Roman" w:hAnsi="Times New Roman"/>
            <w:b w:val="false"/>
            <w:i w:val="false"/>
            <w:color w:val="000000"/>
            <w:sz w:val="22"/>
          </w:rPr>
          <w:t>70.6(6)</w:t>
        </w:r>
      </w:hyperlink>
      <w:r>
        <w:rPr>
          <w:rFonts w:ascii="Times New Roman" w:hAnsi="Times New Roman"/>
          <w:b w:val="false"/>
          <w:i/>
          <w:color w:val="000000"/>
          <w:sz w:val="22"/>
        </w:rPr>
        <w:t>“i”</w:t>
      </w:r>
      <w:r>
        <w:rPr>
          <w:rFonts w:ascii="Times New Roman" w:hAnsi="Times New Roman"/>
          <w:b w:val="false"/>
          <w:i w:val="false"/>
          <w:color w:val="000000"/>
          <w:sz w:val="22"/>
        </w:rPr>
        <w:t xml:space="preserve"> through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three weeks after the property passes clearance, the certified lead inspector/risk assessor or certified elevated blood lead (EBL) inspector/risk assessor shall send a report to the lead abatement contractor that contains the items required by subparagraphs </w:t>
      </w:r>
      <w:hyperlink r:id="rId35">
        <w:r>
          <w:rPr>
            <w:rStyle w:val="Hyperlink"/>
            <w:rFonts w:ascii="Times New Roman" w:hAnsi="Times New Roman"/>
            <w:b w:val="false"/>
            <w:i w:val="false"/>
            <w:color w:val="000000"/>
            <w:sz w:val="22"/>
          </w:rPr>
          <w:t>70.6(6)</w:t>
        </w:r>
      </w:hyperlink>
      <w:r>
        <w:rPr>
          <w:rFonts w:ascii="Times New Roman" w:hAnsi="Times New Roman"/>
          <w:b w:val="false"/>
          <w:i/>
          <w:color w:val="000000"/>
          <w:sz w:val="22"/>
        </w:rPr>
        <w:t>“n”</w:t>
      </w:r>
      <w:r>
        <w:rPr>
          <w:rFonts w:ascii="Times New Roman" w:hAnsi="Times New Roman"/>
          <w:b w:val="false"/>
          <w:i w:val="false"/>
          <w:color w:val="000000"/>
          <w:sz w:val="22"/>
        </w:rPr>
        <w:t>(7) through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or a certified project designer shall prepare a lead abatement report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original and any revised lead abatement notifications.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Starting and completion dates of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the certified lead abatement contractor and of the certified firm contact for the firm conducting the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occupant protection plan required by paragraph </w:t>
      </w:r>
      <w:hyperlink r:id="rId36">
        <w:r>
          <w:rPr>
            <w:rStyle w:val="Hyperlink"/>
            <w:rFonts w:ascii="Times New Roman" w:hAnsi="Times New Roman"/>
            <w:b w:val="false"/>
            <w:i w:val="false"/>
            <w:color w:val="000000"/>
            <w:sz w:val="22"/>
          </w:rPr>
          <w:t>70.6(6)</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signature of each certified lead inspector/risk assessor or certified elevated blood lead (EBL) inspector/risk assessor conducting clearance sampling, the date on which the clearance testing was conducted, the results of the visual inspection for the presence of lead hazards that were not abated as specified, deteriorated paint and visible dust, debris, residue, or paint chips in the interior rooms and exterior areas where lead abatement was conducted, and the results of all postabatement clearance testing and all soil analyses, if applicable. The results of dust sampling shall be reported in micrograms of lead per square foot by location of sample, and the results of soil sampling shall be reported in parts per million of lead. The results shall not be reported as “not detectable.” If random selection was used to select the residential dwellings that were sampled, the report shall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the lead abatement was or was not done as specified and that the rooms and exterior areas where lead abatement was conducted did or did not pass the visual clearance and the clearance dust testing. If the certified lead inspector/risk assessor or certified elevated blood lead (EBL) inspector/risk assessor conducting the clearance testing cannot verify that all lead-based paint hazards have been abated, the report shall contain the following statement:</w:t>
      </w:r>
    </w:p>
    <w:p>
      <w:pPr>
        <w:spacing w:before="0" w:after="0"/>
        <w:ind w:left="120"/>
        <w:jc w:val="both"/>
      </w:pPr>
      <w:r>
        <w:rPr>
          <w:rFonts w:ascii="Times New Roman" w:hAnsi="Times New Roman"/>
          <w:b w:val="false"/>
          <w:i w:val="false"/>
          <w:color w:val="000000"/>
          <w:sz w:val="22"/>
        </w:rPr>
        <w:t>“The purpose of this clearance report is to verify that the lead abatement project was done according to the project specifications. This residential dwelling may still contain hazardous lead-based paint, soil-lead hazards, or dust-lead hazards in the rooms or exterior areas that were not included in the lead abatement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each recognized laboratory conducting an analysis of clearance samples and soil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detailed written description of the lead abatement project, including lead abatement methods used, locations of rooms and components where lead abatement occurred, reasons for selecting particular lead abatement methods, and any suggested monitoring of encapsulants or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37">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38">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a copy of the written consent or waiver required by subrule </w:t>
      </w:r>
      <w:hyperlink r:id="rId39">
        <w:r>
          <w:rPr>
            <w:rStyle w:val="Hyperlink"/>
            <w:rFonts w:ascii="Times New Roman" w:hAnsi="Times New Roman"/>
            <w:b w:val="false"/>
            <w:i w:val="false"/>
            <w:color w:val="000000"/>
            <w:sz w:val="22"/>
          </w:rPr>
          <w:t>70.6(13)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The lead abatement report shall be completed no later than 30 days after the lead abatement project passes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shall maintain all reports and plans required in this subrule for a minimum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certified lead abatement contractor shall provide a copy of all reports required by this subrule to the building owner and to the person who contracted for the lead abatement,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70.6(7)</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must conduct visual risk assessments according to the following standards. Provided that all of the following standards are met, a certified lead inspector/risk assessor, a certified elevated blood lead (EBL) inspector/risk assessor, or a certified sampling technician may remotely conduct a visual risk assessment using technology that allows for adequate visual evaluation of the painted surfaces. Visual risk assessments shall be conducted only by a certified lead inspector/risk assessor, a certified elevated blood lead (EBL) inspector/risk assessor, or a certified sampling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information regarding the physical characteristics of the residential dwelling or child-occupied facility and occupant use patterns that may cause lead-based paint exposure to at least one child under the age of six years shall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for risk assessment shall be undertaken to locate the existence of deteriorated paint and other potential lead-based paint hazards and to assess the extent and causes of the paint deterioration. A certified lead inspector/risk assessor, a certified elevated blood lead (EBL) inspector/risk assessor, or a certified sampling technician shall assess each component in each room, including each exterior side. A certified lead inspector/risk assessor, a certified elevated blood lead (EBL) inspector/risk assessor, or a certified sampling technician shall identify the following conditions as potential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interior and exterior surfaces with deteriorated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Horizontal hard surfaces, including but not limited to floors and windowsills, that are not smooth or cleanable.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Dust-generating conditions, including but not limited to conditions causing rubbing, binding, or crushing of surfaces known or presumed to be coated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Bare soil in the play area and dripline of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shall prepare a written report for each residential dwelling or child-occupied facility where a visual risk assessment is conducted. No later than three weeks after completing the visual risk assessment, the certified lead inspector/risk assessor, certified elevated blood lead (EBL) inspector/risk assessor, or certified sampling technician shall send a copy of the report to the property owner and to the person requesting the visual risk assessment, if different. A certified lead inspector/risk assessor, a certified elevated blood lead (EBL) inspector/risk assessor, or a certified sampling technician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sampling technician, certified lead inspector/risk assessor, or certified elevated blood lead (EBL) inspector/risk assessor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visual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Specific locations of painted or finished components identified as likely to contain lead-based paint and likely to be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Specific locations of bare soil in the play area and the dripline of a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If a remote visual risk assessment is conducted, a description of the methodologies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Information for the owner and occupants on how to reduce lead hazards in the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40">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41">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42">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43">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70.6(8)</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must conduct clearance testing according to the following standards. Clearance testing following lead abatement shall be conducted only by a certified lead inspector/risk assessor or a certified elevated blood lead (EBL) inspector/risk assessor. Clearance testing after renovation and clearance testing after interim controls, paint stabilization, standard treatments, ongoing lead-based paint maintenance, and rehabilitation pursuant to 24 CFR Part 35 shall be conducted only by certified sampling technicians, certified lead inspector/risk assessors, or certified elevated blood lead (EBL) inspector/risk assessors. If the abatement, renovation, or interim controls, paint stabilization, standard treatments, ongoing lead-based paint maintenance, or rehabilitation pursuant to 24 CFR Part 35 is conducted in response to an elevated blood lead (EBL) inspection, clearance must be conducted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Clearance testing following lead abatement shall be conducted according to paragraphs </w:t>
      </w:r>
      <w:hyperlink r:id="rId44">
        <w:r>
          <w:rPr>
            <w:rStyle w:val="Hyperlink"/>
            <w:rFonts w:ascii="Times New Roman" w:hAnsi="Times New Roman"/>
            <w:b w:val="false"/>
            <w:i w:val="false"/>
            <w:color w:val="000000"/>
            <w:sz w:val="22"/>
          </w:rPr>
          <w:t>70.6(6)</w:t>
        </w:r>
        <w:r>
          <w:rPr>
            <w:rFonts w:ascii="Times New Roman" w:hAnsi="Times New Roman"/>
            <w:b w:val="false"/>
            <w:i/>
            <w:color w:val="000000"/>
            <w:sz w:val="22"/>
          </w:rPr>
          <w:t>“i”</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Clearance testing after renovation and clearance testing after interim controls, paint stabilization, standard treatments, ongoing lead-based paint maintenance, or rehabilitation pursuant to 24 CFR Part 35 shall be conducted according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sampling technician shall perform clearance testing only for a single-family property or for individual residential dwellings and associated common areas in multifamily housing. A certified sampling technician shall not perform clearance testing using random selection of residential dwellings or common areas in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a certified elevated blood lead (EBL) inspector/risk assessor, or a certified sampling technician shall review the report of the lead inspection, risk assessment, or visual assessment done prior to interim controls, paint stabilization, standard treatments, ongoing lead-based paint maintenance, or rehabilitation conducted pursuant to 24 CFR Part 35 and the project specifications to determine the lead-based paint hazards that were to be controlled by the project. A certified lead inspector/risk assessor, a certified elevated blood lead (EBL) inspector/risk assessor, or a certified sampling technician shall perform a visual inspection to determine if all lead-based paint hazards that were to be controlled by the project have been controlled and to determine if deteriorated paint surfaces or visible amounts of dust, debris, or residue are still present in the rooms where interim controls, paint stabilization, standard treatments, ongoing lead-based paint maintenance, or rehabilitation were conducted pursuant to 24 CFR Part 35. If lead-based paint hazards that were to be controlled by the project, deteriorated paint surfaces or visible amounts of dust, debris, or residue are present in these rooms, these conditions must be eliminated prior to the continuation of the clearance testing. However, elimination of deteriorated paint is not required if it has been determined through a lead-based paint inspection that the deteriorated paint is not lead-based paint. If exterior painted surfaces have been disturbed by the interim controls, paint stabilization, standard treatments, ongoing lead-based paint maintenance, or rehabilitation conducted pursuant to 24 CFR Part 35, the visual inspection shall include an assessment to determine if all exterior lead-based paint hazards that were to be controlled by the project have been controlled and to determine if any visible dust or debris remains on any horizontal surfaces in the outdoor living areas close to the affected exterior painted surfaces. In addition, a visual inspection shall be conducted to determine if paint chips are present on the dripline or next to the foundation below any exterior painted surface that was treated. If lead-based paint hazards that were to be controlled by the project are still present, these conditions must be eliminated prior to the continuation of the clearance procedures. If visible dust, debris, or paint chips are present, they must be removed from the site and properly disposed of according to all applicable federal, state, and local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the visual inspection and any required cleanup, clearance sampling for lead in dust shall be conducted. Clearance sampling may be conducted by employing single-surface sampling or composite dust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a minimum of one hour after the completion of final cleanup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following clearance activities shall be conducted as appropriate based upon the extent or manner of renovation or of interim controls, paint stabilization, standard treatments, ongoing lead-based paint maintenance, or rehabilitation conducted pursuant to 24 CFR Part 35 in the residential dwelling or child-occupied facility: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containment between treated and untreated areas, three dust samples shall be taken from each of no fewer than four rooms, hallways, or stairwells within the containment area. Dust samples shall be taken from one interior windowsill and from one window trough (if available), and one dust sample shall be taken from the floor of each of no fewer than four rooms, hallways, or stairwells within the containment area. In addition, one dust sample shall be taken from the floor outside of each individual containment area. If there are fewer than four rooms, hallways, or stairwells within the containment area, then all rooms, hallways, and stairwells shall be sampled. Interior dust-lead testing shall be performed for all projects that include window replacement.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After conducting renovation or interim controls, paint stabilization, standard treatments, ongoing lead-based paint maintenance, or rehabilitation pursuant to 24 CFR Part 35, with no containment between treated and untreated areas, three dust samples shall be taken from each of no fewer than four rooms, hallways, or stairwells in the residential dwelling or child-occupied facility. Dust samples shall be taken from one interior windowsill and window trough (if available), and one dust sample shall be taken from the floor of each room, hallway, or stairwell selected. If there are fewer than four rooms, hallways, or stairwells in the residential dwelling or child-occupied facility, then all rooms, hallways, and stairwells shall be sampled. Interior dust-lead testing shall be performed for all projects that include window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contractors conducting the work or cleaning the dwellings shall not know which rooms or surfaces will be selected for the dust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shall compare the residual lead level as determined by the laboratory analysis from each single-surface dust sample with applicable single-surface clearance levels for lead in dust on floors, interior windowsills, and window troughs. If the residual lead level in a single-surface dust sample is greater than or equal to the applicable clearance level for a floor, interior windowsill, or window trough, then the failed component in each room with a failed single-surface dust sample and that type of component in each room that was not tested shall be recleaned. Additional clearance samples shall be taken from the failed component in each room where it failed and from enough additional rooms that were not previously tested so that four rooms are sampled. If four rooms are not available, then each available room shall be retested. The certified lead inspector/risk assessor, certified elevated blood lead (EBL) inspector/risk assessor, or certified sampling technician shall evaluate the results of this testing to determine if the recleaned components meet the clearance level. The components must be recleaned and retested until the clearance level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certified elevated blood lead (EBL) inspector/risk assessor, or certified sampling technician shall compare the residual lead level as determined by the laboratory analysis from each composite dust sample with applicable single-surface clearance levels for lead in dust on floors, interior windowsills, and window troughs divided by half the number of subsamples in the composite sample. If the residual lead level in a composite dust sample is greater than or equal to the applicable clearance level divided by half the number of subsamples in the composite sample, then all the components represented by the failed composite dust sample shall be recleaned and retested until clearance levels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multifamily housing consisting of at least 20 similarly constructed and maintained residential dwellings, random selection for the purpose of clearance testing may be conducted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randomly select the dwellings that will be sampled. The contractors and the workers who conducted the lead abatement, interim controls, paint stabilization, standard treatments, ongoing lead-based paint maintenance, or rehabilitation do not know which residential dwellings will be selected for the random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certified elevated blood lead (EBL) inspector/risk assessor shall use Table 1 to determine the minimum number of dwellings selected for dust sampling. This shall provide a 95 percent level of confidence that no more than 5 percent or 50 of the residential dwellings (whichever is smaller) in the randomly sampled population are greater than or equal to the appropriate clearance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certified lead inspector/risk assessor or certified elevated blood lead (EBL) inspector/risk assessor shall sample the randomly selected residential dwellings and evaluate them for clearance according to the procedures found in paragraphs </w:t>
      </w:r>
      <w:hyperlink r:id="rId45">
        <w:r>
          <w:rPr>
            <w:rStyle w:val="Hyperlink"/>
            <w:rFonts w:ascii="Times New Roman" w:hAnsi="Times New Roman"/>
            <w:b w:val="false"/>
            <w:i w:val="false"/>
            <w:color w:val="000000"/>
            <w:sz w:val="22"/>
          </w:rPr>
          <w:t>70.6(6)</w:t>
        </w:r>
      </w:hyperlink>
      <w:r>
        <w:rPr>
          <w:rFonts w:ascii="Times New Roman" w:hAnsi="Times New Roman"/>
          <w:b w:val="false"/>
          <w:i/>
          <w:color w:val="000000"/>
          <w:sz w:val="22"/>
        </w:rPr>
        <w:t>“h”</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clearance testing is conducted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clearance report must be prepared that provides documentation of the lead abatement, renovation, or interim controls, paint stabilization, standard treatments, ongoing lead-based paint maintenance, or rehabilitation conducted pursuant to 24 CFR Part 35 as well as the clearance testing. When lead abatement is performed, the report shall be a lead abatement report in accordance with paragraph </w:t>
      </w:r>
      <w:hyperlink r:id="rId46">
        <w:r>
          <w:rPr>
            <w:rStyle w:val="Hyperlink"/>
            <w:rFonts w:ascii="Times New Roman" w:hAnsi="Times New Roman"/>
            <w:b w:val="false"/>
            <w:i w:val="false"/>
            <w:color w:val="000000"/>
            <w:sz w:val="22"/>
          </w:rPr>
          <w:t>70.6(6)</w:t>
        </w:r>
        <w:r>
          <w:rPr>
            <w:rFonts w:ascii="Times New Roman" w:hAnsi="Times New Roman"/>
            <w:b w:val="false"/>
            <w:i/>
            <w:color w:val="000000"/>
            <w:sz w:val="22"/>
          </w:rPr>
          <w:t>“n.”</w:t>
        </w:r>
      </w:hyperlink>
      <w:r>
        <w:rPr>
          <w:rFonts w:ascii="Times New Roman" w:hAnsi="Times New Roman"/>
          <w:b w:val="false"/>
          <w:i w:val="false"/>
          <w:color w:val="000000"/>
          <w:sz w:val="22"/>
        </w:rPr>
        <w:t xml:space="preserve"> When renovation or interim controls, paint stabilization, standard treatments, ongoing lead-based paint maintenance, or rehabilitation pursuant to 24 CFR Part 35 is performed, the certified lead inspector/risk assessor, certified elevated blood lead (EBL) inspector/risk assessor, or certified sampling technician shall prepare a written report for each residential dwelling or child-occupied facility where clearance testing is conducted. No later than 30 days after the property passes clearance, the certified lead inspector/risk assessor, certified elevated blood lead (EBL) inspector/risk assessor, or certified sampling technician shall send a copy of the report to the property owner and to the person requesting the clearance testing, if different. The clearance report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address of the residential property and, if only part of a multifamily property is affected, the specific dwelling units and common areas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regarding the clearance testing: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date(s) of the clearance testing.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address, and signature of each certified lead professional performing the clearance examination, including the certification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name and certification number of the certified firm(s) conducting the clearance testing.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Whether or not containment was used and, if containment was used, the locations of the containment.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If random selection was used to select the residential dwellings that were sampled, the report shall state that random selection was used, the number of residential dwellings that were sampled, and how this number was determined.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results of the visual inspection for the presence of deteriorated paint and visible dust, debris, residue, or paint chips in the rooms where renovation or interim controls, paint stabilization, standard treatments, ongoing lead-based paint maintenance, or rehabilitation was conducted pursuant to 24 CFR Part 35.</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All of the results of the analysis of dust samples, in micrograms per square foot, by location of sample. The results shall not be reported as “not detectable.”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statement that the renovation or interim controls, paint stabilization, standard treatments, ongoing lead-based paint maintenance, or rehabilitation conducted pursuant to 24 CFR Part 35 was or was not done as specified and that the rooms and exterior areas where these activities were conducted did or did not pass the visual clearance and the clearance dust testing. If the certified lead inspector/risk assessor, certified elevated blood lead (EBL) inspector/risk assessor, or certified sampling technician conducting the clearance testing cannot verify that all lead-based paint hazards have been controlled, 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purpose of this clearance report is to verify that this lead hazard control project was done according to the project specifications. This residential dwelling may still contain hazardous lead-based paint, soil-lead hazards, or dust-lead hazards in the rooms or exterior areas that were not included in the lead hazard control project.”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each recognized laboratory conducting an analysis of the dust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information on the renovation or interim controls, paint stabilization, standard treatments, ongoing lead-based paint maintenance, or rehabilitation pursuant to 24 CFR Part 35 for which clearance testing was performed: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start and completion dates of the renovation, interim controls, paint stabilization, standard treatments, ongoing lead-based paint maintenance, or rehabilitation.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name and address of each firm or organization conducting the renovation, interim controls, paint stabilization, standard treatments, ongoing lead-based paint maintenance, or rehabilitation and the name of each supervisor assigned.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detailed written description of the renovation, interim controls, paint stabilization, standard treatments, ongoing lead-based paint maintenance, or rehabilitation, including the methods used, locations of exterior surfaces, interior rooms, common areas, and components where the hazard reduction activity occurred.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interim control of soil hazards was conducted, a detailed description of the location(s) of the interim controls and the method(s) used.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Information regarding Iowa’s prerenovation notification requirements found in </w:t>
      </w:r>
      <w:hyperlink r:id="rId47">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48">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49">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50">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lead inspector/risk assessor or a certified elevated blood lead (EBL) inspector/risk assessor or a certified sampling technician shall maintain a copy of the clearance testing information included in the lead abatement report specified in paragraph </w:t>
      </w:r>
      <w:hyperlink r:id="rId51">
        <w:r>
          <w:rPr>
            <w:rStyle w:val="Hyperlink"/>
            <w:rFonts w:ascii="Times New Roman" w:hAnsi="Times New Roman"/>
            <w:b w:val="false"/>
            <w:i w:val="false"/>
            <w:color w:val="000000"/>
            <w:sz w:val="22"/>
          </w:rPr>
          <w:t>70.6(6)</w:t>
        </w:r>
      </w:hyperlink>
      <w:r>
        <w:rPr>
          <w:rFonts w:ascii="Times New Roman" w:hAnsi="Times New Roman"/>
          <w:b w:val="false"/>
          <w:i/>
          <w:color w:val="000000"/>
          <w:sz w:val="22"/>
        </w:rPr>
        <w:t>“m”</w:t>
      </w:r>
      <w:r>
        <w:rPr>
          <w:rFonts w:ascii="Times New Roman" w:hAnsi="Times New Roman"/>
          <w:b w:val="false"/>
          <w:i w:val="false"/>
          <w:color w:val="000000"/>
          <w:sz w:val="22"/>
        </w:rPr>
        <w:t xml:space="preserve"> for no fewer than three years. A certified lead inspector/risk assessor, a certified elevated blood lead (EBL) inspector/risk assessor, or a certified sampling technician shall maintain a copy of the clearance testing report specified in paragraph </w:t>
      </w:r>
      <w:hyperlink r:id="rId52">
        <w:r>
          <w:rPr>
            <w:rStyle w:val="Hyperlink"/>
            <w:rFonts w:ascii="Times New Roman" w:hAnsi="Times New Roman"/>
            <w:b w:val="false"/>
            <w:i w:val="false"/>
            <w:color w:val="000000"/>
            <w:sz w:val="22"/>
          </w:rPr>
          <w:t>70.6(8)</w:t>
        </w:r>
      </w:hyperlink>
      <w:r>
        <w:rPr>
          <w:rFonts w:ascii="Times New Roman" w:hAnsi="Times New Roman"/>
          <w:b w:val="false"/>
          <w:i/>
          <w:color w:val="000000"/>
          <w:sz w:val="22"/>
        </w:rPr>
        <w:t>“d”</w:t>
      </w:r>
      <w:r>
        <w:rPr>
          <w:rFonts w:ascii="Times New Roman" w:hAnsi="Times New Roman"/>
          <w:b w:val="false"/>
          <w:i w:val="false"/>
          <w:color w:val="000000"/>
          <w:sz w:val="22"/>
        </w:rPr>
        <w:t xml:space="preserve"> for no fewer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Clearance testing shall be performed by persons or entities independent of those performing lead abatement, renovation, interim controls, paint stabilization, standard treatments, ongoing lead-based paint maintenance, or rehabilitation, unless the designated party uses qualified in-house employees to conduct clearance testing. An in-house employee shall not conduct both lead abatement, renovation, interim controls, paint stabilization, standard treatments, ongoing lead-based paint maintenance, or rehabilitation and the clearance examination for this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70.6(9)</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conduct paint testing pursuant to 24 CFR Part 35 according to the following standards. Paint testing pursuant to 24 CFR Part 35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conducting paint testing in a residential dwelling or child-occupied facility, the certified lead inspector/risk assessor or elevated blood lead (EBL) inspector/risk assessor shall use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test paint on each deteriorated paint surface and on each painted surface that will be disturbed or replaced. On windows, the window frame, interior windowsill, window sash, and window trough shall each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testing by laboratory analysis, the certified lead inspector/risk assessor or elevated blood lead (EBL) inspector/risk assessor shall collect paint samples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use the NIST 1.02 standard film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 at the beginning of the inspection.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lead-based paint is identified through paint testing, the certified lead inspector/risk assessor or elevated blood lead (EBL) inspector/risk assessor must conduct a visual inspection to determine the presence of lead-based paint hazards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shall prepare a written report for each residential dwelling or child-occupied facility where paint testing is conducted. No later than three weeks after the receipt of laboratory results, the certified lead inspector/risk assessor or certified elevated blood lead (EBL) inspector/risk assessor shall send a copy of the report to the property owner and to the person requesting the inspection, if different. A certified lead inspector/risk assessor or a certified elevated blood lead (EBL) inspector/risk assessor shall maintain a copy of each written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inspection was conducted to determine whether lead-based paint is present on deteriorated paint surfaces and on painted surfaces that will be disturbed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the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paint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laboratory conducting an analysis of collected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testing method and sampling procedure employed for paint analysis, including quality control data and, if used, the manufacturer, serial number, software, and operating mode of any X-ray fluorescence (XRF)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XRF readings taken for calibration and calculations to demonstrate that the XRF is properly calibrated;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Specific locations by room of each painted component tested for the presence of lead-based paint and the results for each component expressed in terms appropriate to the sampling method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statement that all painted or finished components that were not tested must be assumed to contain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A description of the location, type, and severity of identified lead-based paint hazards, including the classification of each tested surface as to whether it is a lead-based paint hazard, and any other potential lead hazards, including bare soil in the dripline of a home where lead-based paint is identified on exterior components or lead-based paint previously existed on exterior components, but has been removed, enclosed, or encapsulated;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A description of interim controls and lead abatement options for each identified lead-based paint hazard and a suggested prioritization for addressing each hazard. If the use of an encapsulant or enclosure is recommended, the report shall recommend a maintenance and monitoring schedule for the encapsulant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3">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54">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lead inspector/risk assessor or elevated blood lead (EBL) inspector/risk assessor certified according to Iowa Administrative Code </w:t>
      </w:r>
      <w:hyperlink r:id="rId55">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56">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70.6(10)</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a certified elevated blood lead (EBL) inspector/risk assessor must conduct reevaluations according to the following standards. Reevaluations shall be conducted only by a certified lead inspector/risk assessor or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available information regarding lead-based paint for the property being reevaluated shall be reviewed, including but not limited to reports of any lead-based paint activities conducted in a residential dwelling, multifamily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visual inspection of the property shall be undertaken to locate the existence of deteriorated paint; bare soil; recommended lead abatement, interim controls, or standard treatments that were not implemented; and failed interim controls, standard treatments, encapsulation, or enclosure.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Deteriorated paint for which the lead content is unknown shall be tested for the presence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Soil samples shall be collected and analyzed from bare soil for which the lead content is unknown. Soil samples shall be collected using the documented methodologies specified in guidance documents issued by the department and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any lead-based paint hazards, recommended lead abatement, interim controls, or standard treatments that were not implemented, or failed interim controls, standard treatments, encapsulation, or enclosure is identified, then the reevaluation is failed. These conditions shall be controlled through lead abatement or interim controls before the reevaluation can continue. Clearance testing shall be conducted following control of the conditions through lead abatement or interim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there are no lead-based paint hazards present and all of the recommended lead abatement or interim controls were implemented and have not failed, then single-surface or composite dust samples shall be collected. The reevaluation is passed if all of the dust samples taken are below the clearance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residential dwellings, single-surface or composite dust samples shall be collected from floors and interior windowsills in at least four rooms, hallways, or stairwells where at least one child under the age of six years is most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multifamily dwellings, single-surface or composite dust samples shall also be collected from common areas where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 child-occupied facilities, single-surface or composite dust samples shall be collected from the floor and interior windowsill in at least four rooms, hallways, or stairwells utilized by one or more children under the age of six years and in other common areas where the certified lead inspector/risk assessor or certified elevated blood lead (EBL) inspector/risk assessor determines that at least one child under the age of six years is likely to come in contact with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Dust samples shall be collected by wipe samples using the documented methodologies specified in guidance documents issued by the department. The minimum area for a floor wipe sample shall be 0.50 square feet or 72 square inches. The minimum area for a windowsill wipe sample and for a window trough wipe sample shall be 0.25 square feet or 36 square inches. Dust samples shall be analyzed by a recognized laboratory to determine the level of lead.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Paint shall be tested using adequate quality control by X-ray fluorescence or by laboratory analysis using a recognized laboratory to determine the presence of lead-based paint on a surface. If tested by laboratory analysis, the paint shall be sampled using the documented methodologies specified in guidance documents issued by the department. If testing by X-ray fluorescence, the certified lead inspector/risk assessor or elevated blood lead (EBL) inspector/risk assessor shall use the following methodologies: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an X-ray fluorescence analyzer that has a performance characteristics sheet and shall use the X-ray fluorescence analyzer according to the performance characteristics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use the NIST 1.02 standard film or standards provided by the manufacturer for calibration of the X-ray fluorescence analyzer. The certified lead inspector/risk assessor or elevated blood lead (EBL) inspector/risk assessor shall not state that any surface is free of lead-based paint unless the NIST 1.02 standard film is used for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take calibration readings consisting of an average of three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recommended by the performance characteristics sheet, the certified lead inspector/risk assessor or elevated blood lead (EBL) inspector/risk assessor shall conduct substrate correction for all XRF readings less than 4.0 milligrams of lead per square centimeter. For each substrate that requires substrate correction, the certified lead inspector/risk assessor or elevated blood lead (EBL) inspector/risk assessor shall completely remove all paint from an area of two different testing combinations for that substrate. If possible, the areas chosen for substrate correction should have initial XRF readings of less than 2.5 milligrams of lead per square centimeter. For each testing combination, the certified lead inspector/risk assessor or elevated blood lead (EBL) inspector/risk assessor shall remove paint from an area that is at least as large as the XRF probe faceplate. On each of the two areas, the certified lead inspector/risk assessor or elevated blood lead (EBL) inspector/risk assessor shall place the NIST 1.02 standard film over the surface, and take three XRF readings with the XRF used to conduct the inspection. The certified lead inspector/risk assessor or elevated blood lead (EBL) inspector/risk assessor shall calculate the arithmetic mean for these six readings and shall subtract 1.02 from this arithmetic mean to obtain the substrate correction value. The certified lead inspector/risk assessor or elevated blood lead (EBL) inspector/risk assessor shall then subtract the substrate correction value from each XRF reading for the substrate requiring substrate correction to obtain the corrected XRF reading. For example, if the six readings taken on the NIST 1.02 standard film were 1.1, 1.3, 1.4, 1.0, 1.2, and 1.1, the arithmetic mean is calculated by the equation (1.1 + 1.3 + 1.4 + 1.0 + 1.2 + 1.1)/6 and is equal to 1.18. The substrate correction value is equal to 1.18 minus 1.02, or 0.16. If the certified lead inspector/ risk assessor or elevated blood lead (EBL) inspector/risk assessor does not conduct substrate correction where recommended by the performance characteristics sheet, then the certified lead inspector/risk assessor or elevated blood lead (EBL) inspector/risk assessor shall assume that all of the readings are positive and shall not state that a surface is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classify each XRF reading that did not require substrate correction and each corrected XRF reading for XRF readings that required substrate correction as positive, negative, or inconclusive, according to the performance characteristics sheet for the XRF. The certified lead inspector/risk assessor or elevated blood lead (EBL) inspector/risk assessor shall not discard XRF readings unless instructed to do so by the performance characteristics sheet or the operating instructions from the manufacturer. If the certified lead inspector/risk assessor or elevated blood lead (EBL) inspector/risk assessor believes that a reading classified as positive is in error, the certified lead inspector/risk assessor or elevated blood lead (EBL) inspector/risk assessor shall collect a paint sample for laboratory analysis. The certified lead inspector/risk assessor or elevated blood lead (EBL) inspector/risk assessor shall change the positive classification to negative only if the results of the laboratory analysis indicate that the surface is not painted with lead-based paint. The certified lead inspector/risk assessor or elevated blood lead (EBL) inspector/risk assessor may assume that all inconclusive readings are positive and classify them as such.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certified lead inspector/risk assessor or elevated blood lead (EBL) inspector/risk assessor shall resolve inconclusive readings as defined by the performance characteristics sheet for the XRF by collecting paint samples for laboratory analysis. If the certified lead inspector/risk assessor or elevated blood lead (EBL) inspector/risk assessor does not resolve inconclusive readings by laboratory analysis, then the certified lead inspector/risk assessor or elevated blood lead (EBL) inspector/risk assessor shall assume that the inconclusive readings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When conducting reevaluation in multifamily housing, a certified lead inspector/risk assessor or certified elevated blood lead (EBL) inspector/risk assessor may sample each residential dwelling or choose residential dwellings for sampling by random selection, targeted selection, or worst case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built before 1960 or if the date of construction is unknown, the multifamily housing shall contain at least 20 similarly constructed and maintained residential dwellings in order to use random selection. If built from 1960 to 1977, the multifamily housing shall contain at least 10 similarly constructed and maintained residential dwellings in order to use random selection. The certified lead inspector/risk assessor or elevated blood lead (EBL) inspector/risk assessor shall use Table 1 to determine the number of residential dwellings to randomly select for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5 or more similar residential dwellings, the certified lead inspector/risk assessor or elevated blood lead (EBL) inspector/risk assessor may use targeted selection. If using targeted selection, the certified lead inspector/risk assessor or elevated blood lead (EBL) inspector/risk assessor shall use Table 2 to determine the number of residential dwellings to test. If the multifamily housing has fewer than 5 similar dwellings, all residential dwellings shall be tested. Residential dwellings chosen by targeted selection shall meet as many of the following criteria as possible. If additional residential dwellings are needed to meet the minimum number specified in Table 2, the certified lead inspector/risk assessor or elevated blood lead (EBL) inspector/risk assessor shall select them randomly. If too many residential dwellings meet the criteria, residential dwellings shall be eliminated randomly. Targeted selection criteria are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residential dwelling has been cited with a housing or building code violation within the past year.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owner believes that the residential dwelling is in poor condition.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residential dwelling contains two or more children between the ages of six months and six years. The certified lead inspector/risk assessor or elevated blood lead (EBL) inspector/risk assessor shall give preference to residential dwellings that house the largest number of children.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residential dwelling serves as a child-occupied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residential dwelling has been prepared for reoccupancy within the past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multifamily housing contains 5 or more similar residential dwellings, the certified lead inspector/risk assessor or elevated blood lead (EBL) inspector/risk assessor may use worst case selection. If using worst case selection, the certified lead inspector/risk assessor or elevated blood lead (EBL) inspector/risk assessor shall use Table 2 to determine the number of residential dwellings to test. If the multifamily housing has fewer than 5 similar dwellings, all residential dwellings shall be tested.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following standards shall be used to determine the extent of lead-based paint hazards throughout multifamily housing that is sampled by random selection, targeted selection, or worst case selection: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certified lead inspector/risk assessor or elevated blood lead (EBL) inspector/risk assessor shall calculate the arithmetic mean of the dust-lead levels for carpeted floors, uncarpeted floors, interior windowsills, and window troughs. If the arithmetic mean is greater than or equal to the level defined as a dust-lead hazard for the component, then the certified lead inspector/risk assessor or elevated blood lead (EBL) inspector/risk assessor shall determine that a dust-lead hazard has been identified on the component throughout the multifamily housing. If the arithmetic mean is less than the level defined as a dust-lead hazard for the component, but some of the individual components have dust-lead levels that are greater than or equal to the level defined as a dust-lead hazard, then the certified lead inspector/risk assessor or elevated blood lead (EBL) inspector/risk assessor shall determine that a dust-lead hazard has been identified on the individual components and on all other similar components throughout the multifamily housing.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certified lead inspector/risk assessor or elevated blood lead (EBL) inspector/risk assessor shall evaluate the results of paint sampling by component and location. If all components at a given location are determined to be painted with lead-based paint or are determined not to be painted with lead-based paint, the certified lead inspector/risk assessor or elevated blood lead (EBL) inspector/risk assessor may assume this condition is true for all similar residential dwellings. The certified lead inspector/risk assessor or elevated blood lead (EBL) inspector/risk assessor shall not assume that the multifamily housing is free of lead-based paint. If a component at a given location is found to be painted with lead-based paint in some residential dwellings and not painted with lead-based paint in other residential dwellings, the certified lead inspector/risk assessor or elevated blood lead (EBL) inspector/risk assessor shall assume that the component is a lead-based paint hazard in all similar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 If reevaluation is conducted, the first reevaluation shall be conducted no later than two years from completion of lead abatement, interim controls, or standard treatments. Subsequent reevaluation shall be conducted at intervals of two years, plus or minus 60 days. To be exempt from additional reevaluation, a residential dwelling or child-occupied facility shall have at least two consecutive passing reevaluations conducted at such two-year intervals. If, however, a reevaluation fails, at least two more consecutive reevaluations conducted at such two-year intervals must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certified lead inspector/risk assessor or certified elevated blood lead (EBL) inspector/risk assessor shall prepare a written report for each residential dwelling or child-occupied facility where a reevaluation is conducted. No later than three weeks after the receipt of laboratory results, the certified lead inspector/risk assessor or certified elevated blood lead (EBL) inspector/risk assessor shall send a copy of the report to the property owner and to the person requesting the reevaluation, if different. A certified lead inspector/risk assessor or certified elevated blood lead (EBL) inspector/risk assessor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each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 or owners of each residential dwelling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signature, and certification number of each certified lead inspector/risk assessor or certified elevated blood lead (EBL) inspector/risk assessor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and certification number of the certified firm(s) conducting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information gathered for the review as outlined in </w:t>
      </w:r>
      <w:hyperlink r:id="rId57">
        <w:r>
          <w:rPr>
            <w:rStyle w:val="Hyperlink"/>
            <w:rFonts w:ascii="Times New Roman" w:hAnsi="Times New Roman"/>
            <w:b w:val="false"/>
            <w:i w:val="false"/>
            <w:color w:val="000000"/>
            <w:sz w:val="22"/>
          </w:rPr>
          <w:t>70.6(10)</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Results of the visual inspection including details of any newly identified lead-based paint hazards, the status of past lead hazard control measures, and repair options for any lead-based paint hazards identified during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 indication of whether or not the property passed or failed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 indication of when the next reevaluation, if any, should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results of any environmental samples taken, including all XRF readings, all laboratory analyses and clearance testing results,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each recognized laboratory conducting an analysis of collected samples, including the identification number for each such laboratory recognized by EPA under Section 405(b) of the Toxic Substances Control Act (15 U.S.C. 2685(b));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the owner’s obligations to disclose known lead-based paint and lead-based paint hazards upon sale or lease of residential property as required by Subpart H of 24 CFR Part 35 and Subpart I of 40 CFR Part 745;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58">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found in </w:t>
      </w:r>
      <w:hyperlink r:id="rId59">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The report shall contain the following statement:</w:t>
      </w:r>
    </w:p>
    <w:p>
      <w:pPr>
        <w:spacing w:before="0" w:after="0"/>
        <w:ind w:left="120"/>
        <w:jc w:val="both"/>
      </w:pPr>
      <w:r>
        <w:rPr>
          <w:rFonts w:ascii="Times New Roman" w:hAnsi="Times New Roman"/>
          <w:b w:val="false"/>
          <w:i w:val="false"/>
          <w:color w:val="000000"/>
          <w:sz w:val="22"/>
        </w:rPr>
        <w:t xml:space="preserve">“The Iowa Department of Public Health may review this report for compliance purposes. It is a violation of law for anyone other than the certified lead professional signing it to alter this report. This report may be supplemented with additional information, so long as any addendum is signed by a sampling technician, lead inspector/risk assessor or elevated blood lead (EBL) inspector/risk assessor certified according to Iowa Administrative Code </w:t>
      </w:r>
      <w:hyperlink r:id="rId60">
        <w:r>
          <w:rPr>
            <w:rStyle w:val="Hyperlink"/>
            <w:rFonts w:ascii="Times New Roman" w:hAnsi="Times New Roman"/>
            <w:b w:val="false"/>
            <w:i w:val="false"/>
            <w:color w:val="000000"/>
            <w:sz w:val="22"/>
          </w:rPr>
          <w:t>641—70.3</w:t>
        </w:r>
      </w:hyperlink>
      <w:r>
        <w:rPr>
          <w:rFonts w:ascii="Times New Roman" w:hAnsi="Times New Roman"/>
          <w:b w:val="false"/>
          <w:i w:val="false"/>
          <w:color w:val="000000"/>
          <w:sz w:val="22"/>
        </w:rPr>
        <w:t xml:space="preserve">(135) and </w:t>
      </w:r>
      <w:hyperlink r:id="rId61">
        <w:r>
          <w:rPr>
            <w:rStyle w:val="Hyperlink"/>
            <w:rFonts w:ascii="Times New Roman" w:hAnsi="Times New Roman"/>
            <w:b w:val="false"/>
            <w:i w:val="false"/>
            <w:color w:val="000000"/>
            <w:sz w:val="22"/>
          </w:rPr>
          <w:t>70.5</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renovations performed in target housing and child-occupied facilities, except for emergency renovations and minor repair and maintenance activities, shall be performed according to the work practice standards in </w:t>
      </w:r>
      <w:hyperlink r:id="rId62">
        <w:r>
          <w:rPr>
            <w:rStyle w:val="Hyperlink"/>
            <w:rFonts w:ascii="Times New Roman" w:hAnsi="Times New Roman"/>
            <w:b w:val="false"/>
            <w:i w:val="false"/>
            <w:color w:val="000000"/>
            <w:sz w:val="22"/>
          </w:rPr>
          <w:t>70.6(11)</w:t>
        </w:r>
      </w:hyperlink>
      <w:r>
        <w:rPr>
          <w:rFonts w:ascii="Times New Roman" w:hAnsi="Times New Roman"/>
          <w:b w:val="false"/>
          <w:i w:val="false"/>
          <w:color w:val="000000"/>
          <w:sz w:val="22"/>
        </w:rPr>
        <w:t>. Renovation activities conducted in housing or on surfaces determined to be free of lead-based paint by a certified lead inspector/risk assessor or certified elevated blood lead (EBL) inspector/risk assessor shall be exempt from all work practice standards except record keeping. All renovations shall be performed by a certified firm under the supervision of a certified lead abatement contractor or a certified lead abatement worker who completes initial certification on or after January 13, 2010, or if certified prior to January 13, 2010, completes a lead abatement worker, lead abatement contractor, or lead-safe renovator refresher course on or after January 13, 2010, or shall be performed by a certified lead-safe renovator in accordance with the requirements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firm shall assign at least one certified lead abatement contractor, a certified lead abatement worker, or a certified lead-safe renovator to each individual renovation project. The certified lead abatement contractor, certified lead abatement worker, or certified lead-safe renovator assigned to each individual renovation project shall ensure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a certified lead abatement worker, or a certified lead-safe renovator must be on site during all worksite preparation and during the cleanup of work areas. At all other times when renovation is being conducted, a certified lead abatement contractor, a certified lead abatement worker, or a certified lead-safe renovator shall be on site or available by telephone, pager, or answering service and be able to be present at the worksite in no more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Signs are posted and readable. All signs must be posted before the renovation begins and must remain in place until the postrenovation cleaning verification has been completed.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the extent practicable, all signage must be posted in the occupants’ primary language.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signs must clearly define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signs must warn occupants and other persons not involved with the renovation activity to remain outside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signs must be posted at the entrance(s) to all work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 area must be effectively contained before the renovation is begun. To be effective, containment must: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Isolate the work area so that no dust or debris leaves the work area while the renovation is being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monitored and maintained so that any plastic or other impermeable materials are not torn or displaced.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installed in such a manner that it does not interfere with occupant and worker egress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or covering of all objects from the work area, including but not limited to furniture, rugs, and window coverings. Objects that are not removed from the work area must be covered with plastic sheeting or other impermeable material with all seams and edges taped or otherwise sealed.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Closing and covering all duct openings in the work area. Ducts must be covered with plastic sheeting or other impermeable material that is taped down.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Closing windows and doors in the work area. Doors must be covered with plastic sheeting or other impermeable material. Doors used as an entrance to the work area must be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Covering the floor surface, including installed carpet, with taped-down plastic sheeting or other impermeable material in the work area six feet beyond the perimeter of the surfaces undergoing renovation or a sufficient distance to contain the dust, whichever is greater.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Ensuring that all personnel, tools, and other items, including the exteriors of containers of waste, are free of dust and debris before leaving or being removed from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containment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Closing all doors and windows within 20 feet of the renovation. On multistory buildings, all doors and windows within 20 feet of the renovation on the same story as the renovation shall be closed, and all doors and windows on all stories below the renovation that are the same horizontal distance from the renovation shall be closed.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Ensuring that doors within the work areas that will be used while the renovation is being performed are covered with plastic sheeting or other impermeable material in a manner that allows workers to pass through while confining dust and debris to the work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Covering the ground with plastic sheeting or other disposable impermeable material extending 10 feet beyond the perimeter of surfaces undergoing renovation or a sufficient distance to collect falling paint debris, whichever is greater, unless the property line prevents 10 feet of such ground cover. Exterior ground cover shall include anchors or weights to ensure the covering remains effective even during weather conditions such as high wind.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Vertical containment. In certain situations, such as where other buildings are in close proximity to the work area, when conditions are windy, or where the work area abuts a property line, the certified lead abatement contractor, certified lead abatement worker, or certified lead-safe renovator shall erect a system of vertical containment designed to prevent dust and debris from migrating to adjacent property or contaminating the ground, other buildings, or any object beyond the work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Prohibited practices are not used during the renovation. Prohibited practices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Open-flame burning or torching of paint.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Machine sanding or grinding or abrasive blasting or sandblasting of paint unless used with high-efficiency particulate air (HEPA) exhaust control that removes particles of 0.3 microns or larger from the air at 99.97 percent or greater efficiency.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Uncontained water blasting of paint.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Dry scraping or dry sanding of paint except in conjunction with the use of a heat gun or around electrical outlets.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a heat gun at a temperature at or above 1100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All workers that are not certified lead abatement contractors, certified lead abatement workers, or certified lead-safe renovators must have on-the-job training as required by </w:t>
      </w:r>
      <w:hyperlink r:id="rId63">
        <w:r>
          <w:rPr>
            <w:rStyle w:val="Hyperlink"/>
            <w:rFonts w:ascii="Times New Roman" w:hAnsi="Times New Roman"/>
            <w:b w:val="false"/>
            <w:i w:val="false"/>
            <w:color w:val="000000"/>
            <w:sz w:val="22"/>
          </w:rPr>
          <w:t>70.6(11)</w:t>
        </w:r>
        <w:r>
          <w:rPr>
            <w:rFonts w:ascii="Times New Roman" w:hAnsi="Times New Roman"/>
            <w:b w:val="false"/>
            <w:i/>
            <w:color w:val="000000"/>
            <w:sz w:val="22"/>
          </w:rPr>
          <w:t>“d.”</w:t>
        </w:r>
      </w:hyperlink>
      <w:r>
        <w:rPr>
          <w:rFonts w:ascii="Times New Roman" w:hAnsi="Times New Roman"/>
          <w:b w:val="false"/>
          <w:i w:val="false"/>
          <w:color w:val="000000"/>
          <w:sz w:val="22"/>
        </w:rPr>
        <w:t xml:space="preserve">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desired, perform all testing with recognized test kits in accordance with </w:t>
      </w:r>
      <w:hyperlink r:id="rId64">
        <w:r>
          <w:rPr>
            <w:rStyle w:val="Hyperlink"/>
            <w:rFonts w:ascii="Times New Roman" w:hAnsi="Times New Roman"/>
            <w:b w:val="false"/>
            <w:i w:val="false"/>
            <w:color w:val="000000"/>
            <w:sz w:val="22"/>
          </w:rPr>
          <w:t>70.6(11)</w:t>
        </w:r>
        <w:r>
          <w:rPr>
            <w:rFonts w:ascii="Times New Roman" w:hAnsi="Times New Roman"/>
            <w:b w:val="false"/>
            <w:i/>
            <w:color w:val="000000"/>
            <w:sz w:val="22"/>
          </w:rPr>
          <w:t>“e.”</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the postrenovation cleaning verification as outlined in </w:t>
      </w:r>
      <w:hyperlink r:id="rId65">
        <w:r>
          <w:rPr>
            <w:rStyle w:val="Hyperlink"/>
            <w:rFonts w:ascii="Times New Roman" w:hAnsi="Times New Roman"/>
            <w:b w:val="false"/>
            <w:i w:val="false"/>
            <w:color w:val="000000"/>
            <w:sz w:val="22"/>
          </w:rPr>
          <w:t>70.6(11)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waste generated during renovation activities is contained to prevent the release of dust and debris before the waste is removed from the work area for storage or disposal. Any chutes used to remove waste from the work area shall be covered.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the conclusion of each workday and at the conclusion of the renovation, waste that has been collected from renovation activities must be stored under containment, in an enclosure, or behind a barrier that prevents release of dust and debris out of the work area and prevents access to dust and debris.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 waste from renovation activities must be contained during transportation so that no dust or debris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work area shall be cleaned so that no dust, debris, or residue remains after the renovation. Cleaning shall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collection of all paint chips and debris and, without dispersing the paint chips and debris, the sealing of the materials in heavy-duty bags.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removal of the protective sheeting used as required in this subrule. The sheeting shall be misted, then the sheeting shall be folded dirty side inward. All sheeting shall be taped shut or otherwise sealed inside heavy-duty bags. Sheeting used to separate work areas from non-work areas must remain in place until after the cleaning and removal of other sheeting. All sheeting shall be disposed of as waste.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interior renovations, all objects and surfaces in the work area and within two feet of the work area must be cleaned from high to low in the following manner: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Walls must either be vacuumed with a HEPA vacuum or wiped with a wet cloth, beginning at the ceiling and working toward the floor.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including objects and fixtures must be thoroughly vacuumed with a HEPA vacuum. For carpeted floors and rugs, the HEPA vacuum must be equipped with a beater bar.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remaining surfaces, except for carpeted or upholstered surfaces, must also be wiped with a damp cloth. Uncarpeted floors must be thoroughly mopped using a method that keeps the wash water separate from the rinse water, such as the two-bucket mopping method, or using a wet mopping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Postrenovation cleaning verification. A certified lead abatement contractor, certified lead abatement worker, or certified lead-safe renovator shall use the following procedure for conducting postrenovation cleaning verification. In lieu of postrenovation cleaning verification, clearance testing as outlined in 70.6(8) can be performed. If the work is done in response to an elevated blood lead (EBL) inspection, clearance testing shall be performed by a certified elevated blood lead (EBL) inspector/risk assessor in lieu of postrenovation cleaning verification. Warning signs may be removed after all of the work areas in a renovation project have been adequately cleaned and verified or passed clearance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interior renovations, the certified lead abatement contractor, certified lead abatement worker, or certified lead-safe renovator shall perform a visual inspection to determine whether dust, debris, or residue is still present. If dust, debris, or residue is still present, these conditions must be removed by recleaning, and another visual inspection must be performed. Following a successful visual inspection, a certified lead abatement contractor, certified lead abatement worker, or certified lead-safe renovator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Verify that each windowsill and window trough in the work area has been adequately cleaned, using the following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the windowsill and window trough with a wet disposable cleaning cloth that is damp to the touch. If the cloth matches or is lighter than the cleaning verification card, the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windowsill or window trough as directed in </w:t>
      </w:r>
      <w:hyperlink r:id="rId66">
        <w:r>
          <w:rPr>
            <w:rStyle w:val="Hyperlink"/>
            <w:rFonts w:ascii="Times New Roman" w:hAnsi="Times New Roman"/>
            <w:b w:val="false"/>
            <w:i w:val="false"/>
            <w:color w:val="000000"/>
            <w:sz w:val="22"/>
          </w:rPr>
          <w:t>70.6(11)</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 Then wipe the windowsill or window trough again, using a new cloth or the same cloth folded in such a way that an unused surface is exposed. If the cloth matches or is lighter than the cleaning verification card, that windowsill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windowsill or window trough to dry, wipe the windowsill or window trough with a dry disposable cleaning cloth. After this wipe, that windowsill or window trough has been adequately cleaned.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Verify that uncarpeted floors and countertops in the work area have been adequately cleaned, using the following procedure. If the surface within the work area is greater than 40 square feet, the surface within the work area must be divided into roughly equal sections that are each less than 40 square feet.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Wipe uncarpeted floors and countertops within the work area with a wet disposable cleaning cloth. Floors must be wiped using an application device with a long handle and a head to which the cloth is attached. The cloth must remain damp at all times while it is being used to wipe the surface for postrenovation cleaning verification. Wipe each such section separately with a new wet disposable cleaning cloth. If the cloth used to wipe each section of the surface within the work area matches or is lighter than the cleaning verification card, the surface has been adequately cleaned.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If the cloth does not match and is darker than the cleaning verification card, reclean the surface as in </w:t>
      </w:r>
      <w:hyperlink r:id="rId67">
        <w:r>
          <w:rPr>
            <w:rStyle w:val="Hyperlink"/>
            <w:rFonts w:ascii="Times New Roman" w:hAnsi="Times New Roman"/>
            <w:b w:val="false"/>
            <w:i w:val="false"/>
            <w:color w:val="000000"/>
            <w:sz w:val="22"/>
          </w:rPr>
          <w:t>70.6(11)</w:t>
        </w:r>
        <w:r>
          <w:rPr>
            <w:rFonts w:ascii="Times New Roman" w:hAnsi="Times New Roman"/>
            <w:b w:val="false"/>
            <w:i/>
            <w:color w:val="000000"/>
            <w:sz w:val="22"/>
          </w:rPr>
          <w:t>“a”</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Then wipe the floor or countertop again, using a new cloth. If the cloth matches or is lighter than the cleaning verification card, that surface has been adequately cleaned.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the cloth does not match and is darker than the cleaning verification card, wait for one hour or until the surface has dried completely, whichever is longer.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After waiting for the surface to dry, wipe each section of the surface that has not yet achieved the postrenovation cleaning verification with a dry disposable cleaning cloth. After this wipe, that surface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exterior renovations, the certified lead abatement contractor, certified lead abatement worker, or certified lead-safe renovator shall perform a visual inspection to determine whether dust, debris, or residue is still present on surfaces in and below the work area, including windowsills and the ground. If dust, debris, or residue is present, these conditions must be eliminated and another visual inspection must be performed. When the area passes the visual inspection, the exterior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shall only use cleaning verification cards that are approved by the U.S. Environmental Protection Agency (EPA).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shall not use cleaning verification cards that have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Clearance testing. Postrenovation cleaning verification is not required if the contract between the renovation firm and the person contracting for the renovation or another federal, state, territorial, tribal, or local law or regulation requires the renovation firm to perform clearance testing at the conclusion of a renovation covered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dust samples must be collected by a certified lead inspector/risk assessor, certified elevated blood lead (EBL) inspector/risk assessor, or certified sampling technician. If the work is done in response to an elevated blood lead (EBL) inspection, the dust samples must be collected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firm conducting the renovation is required to reclean the work area until the dust clearance sample results are below the clearance standards in subrule </w:t>
      </w:r>
      <w:hyperlink r:id="rId68">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On-the-job training. The certified lead abatement contractor, certified lead abatement worker, or certified lead-safe renovator assigned to the renovation project shall ensure that each noncertified individual conducting renovation activities has been or is currently being trained on how to safely conduct renovation activities. However, on-the-job training does not meet the training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on-the-job training shall be conducted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noncertified individual shall be trained by a certified lead abatement contractor, certified lead abatement worker, or certified lead-safe renovator who is employed by the same certified firm. A certified firm shall not accept on-the-job training that was performed by another firm. On-the-job training does not meet the requirement for work conducted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On-the-job training shall be specific for the type of work the noncertified individual is performing and must include at least the following topics: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overview of the requirements described in this chapter.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overview of the health effects of lead poisoning.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Methods to prevent taking lead dust home from the worksite.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How and why to properly set up a work area for lead-safe renovations.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How and where to properly post signage.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Personal protection.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How and why to properly set up containment.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How and why to minimize dust and debris.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Proper cleaning techniques and time lines for cleaning in renovation activities.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How to properly handle and control waste generated from renovation activities.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An overview of the postrenovation cleaning verification and clearance testing.</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An overview of the prerenovation notification requirements found in </w:t>
      </w:r>
      <w:hyperlink r:id="rId69">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Prohibited work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Recognized test kits. A certified lead abatement contractor, certified lead abatement worker, or certified lead-safe renovator may use recognized test kits to determine whether surfaces to be affected by renovation activities are painted with lead-based paint. The result from each individual test performed applies only to the individual surface tested. Surfaces which are determined by proper use of a recognized test kit to be free of lead-based paint are exempt from the requirements of </w:t>
      </w:r>
      <w:hyperlink r:id="rId70">
        <w:r>
          <w:rPr>
            <w:rStyle w:val="Hyperlink"/>
            <w:rFonts w:ascii="Times New Roman" w:hAnsi="Times New Roman"/>
            <w:b w:val="false"/>
            <w:i w:val="false"/>
            <w:color w:val="000000"/>
            <w:sz w:val="22"/>
          </w:rPr>
          <w:t>70.6(11)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Results obtained from recognized test kits are only valid if the testing was performed according to the manufacturer’s directions. Any results from test kits which are not recognized shall be invalid. A certified lead abatement contractor, certified lead abatement worker, or certified lead-safe renovator shall not discard a valid result from a recognized test kit.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certified lead abatement contractor, certified lead abatement worker, or certified lead-safe renovator must complete a written report when conducting a renovation. The report shall include the results of any testing performed with a recognized test kit, information regarding the work practices used in the renovation and, if applicable, a copy of the clearance testing report. When the final invoice for the renovation is delivered or within 30 days after the renovation activity is complete, whichever is earlier, the certified lead abatement contractor, certified lead abatement worker, or certified lead-safe renovator shall send a copy of the report to the owner of the building. If the renovation took place within a residential dwelling, the certified lead abatement contractor, certified lead abatement worker, or certified lead-safe renovator shall send a copy of the report to an adult occupant of the residential dwelling and to the person requesting the renovation, if different from the owner. If the renovation took place within a child-occupied facility, the certified lead abatement contractor, certified lead abatement worker, or certified lead-safe renovator shall send a copy of the report to an adult representative of the child-occupied facility and to the person requesting the renovation, if different from the owner. If the renovation took place within common areas of multifamily target housing, the certified lead abatement contractor, certified lead abatement worker, or certified lead-safe renovator shall post in areas where it is likely to be seen by the occupants of all of the affected units the report required by this paragraph or instructions on how interested occupants can obtain a copy of this report at no charge. If the renovation took place within a child-occupied facility, the certified lead abatement contractor, certified lead abatement worker, or certified lead-safe renovator shall post in areas where it is likely to be seen by the parents or guardians of children frequenting the child-occupied facility the report required by this paragraph or instructions on how interested parents or guardians of children frequenting the child-occupied facility can obtain a copy of this report at no charge. A certified lead abatement contractor, certified lead abatement worker, or certified lead-safe renovator shall maintain a copy of the report for no less than three years. The report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date(s) of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Address of the building, including apartment numbers,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owner(s) of the address(es) where the renovation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signature, certification number, and telephone number of the certified lead abatement contractor, certified lead abatement worker, or certified lead-safe renovator who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performing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testing was performed with a recognized test kit, the location of each test. The location shall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results of testing. The results shall be classified as either positive for lead-based paint or negative for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and manufacturer of the recognized test kit(s) used, the expiration date, and the EPA approval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work practices used in the renovation, including the location(s) where each work practice was used. The location shall be specific to the room and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If applicable, a copy of the clearance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owner’s obligations to disclose known lead-based paint and lead-based paint hazards upon sale or lease of residential property as required by Subpart H of 24 CFR Part 35 and Subpart I of 40 CFR Part 745.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Iowa’s prerenovation notification requirements found in </w:t>
      </w:r>
      <w:hyperlink r:id="rId71">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 xml:space="preserve">; and information regarding Iowa’s regulations for renovation, remodeling and repainting found in </w:t>
      </w:r>
      <w:hyperlink r:id="rId72">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 keeping. Records shall be kept for each renovation project that involves target housing or child-occupied facilities. The records for each renovation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lead abatement contractor, certified lead abatement worker, or certified lead-safe renovator responsible for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certification number of the certified firm that performed the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address(es) of the property where the renovation activity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telephone number of the property owner where the renovation activity was performed.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Renovations considered emergency pursuant to </w:t>
      </w:r>
      <w:hyperlink r:id="rId73">
        <w:r>
          <w:rPr>
            <w:rStyle w:val="Hyperlink"/>
            <w:rFonts w:ascii="Times New Roman" w:hAnsi="Times New Roman"/>
            <w:b w:val="false"/>
            <w:i w:val="false"/>
            <w:color w:val="000000"/>
            <w:sz w:val="22"/>
          </w:rPr>
          <w:t>641—70.2</w:t>
        </w:r>
      </w:hyperlink>
      <w:r>
        <w:rPr>
          <w:rFonts w:ascii="Times New Roman" w:hAnsi="Times New Roman"/>
          <w:b w:val="false"/>
          <w:i w:val="false"/>
          <w:color w:val="000000"/>
          <w:sz w:val="22"/>
        </w:rPr>
        <w:t>(135) shall contain a description of the circumstances explaining why the renovations were immediately required and which work practice standards were not followed as a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reports or documentation completed by a certified lead professional concerning the renovation project, including documentation from certified lead inspector/risk assessors or certified elevated blood lead (EBL) lead inspector/risk assessors regarding housing, components, or surfaces that have been determined to be free of lead-based paint and clearance reports from clearance testing performed in lieu of postrenovation cleaning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each noncertified individual working on the renovation project had, or was receiving, the appropriate on-the-job training outlined in </w:t>
      </w:r>
      <w:hyperlink r:id="rId74">
        <w:r>
          <w:rPr>
            <w:rStyle w:val="Hyperlink"/>
            <w:rFonts w:ascii="Times New Roman" w:hAnsi="Times New Roman"/>
            <w:b w:val="false"/>
            <w:i w:val="false"/>
            <w:color w:val="000000"/>
            <w:sz w:val="22"/>
          </w:rPr>
          <w:t>70.6(11)</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documentation must include the names of all of the noncertified individuals who worked on the renovation. However, on-the-job training does not meet the training requirement for work conducted pursuant to 24 CFR 35.1340.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certified lead-safe renovator followed the work practices for renovation activities outlined in 70.6(11). This shall include documentation that the following work practices were followed: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Signs were posted at the entrance to the work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work area was contained.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objects in the work area were covered or removed.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All HVAC ducts in the work area were closed and covered.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All windows in the work area were closed, and all windows within 20 feet of exterior work areas were closed.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doors not used to enter the work area were closed and sealed, and all doors within 20 feet of exterior work areas were closed and sealed.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All doors used as an entrance to the work area had containment in place to prevent the spread of dust and debris.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All floors in the work area were covered for a sufficient distance to contain the dust and debris from the renovation. </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Adequate ground cover was in place to contain the dust and debris for exterior renovations. </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Adequate vertical containment was in place to contain the dust and debris for exterior renovations.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All waste generated during the renovations was contained throughout the renovation and the transportation to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that the renovation work area was cleaned and passed the postrenovation cleaning verification procedures outlined in </w:t>
      </w:r>
      <w:hyperlink r:id="rId75">
        <w:r>
          <w:rPr>
            <w:rStyle w:val="Hyperlink"/>
            <w:rFonts w:ascii="Times New Roman" w:hAnsi="Times New Roman"/>
            <w:b w:val="false"/>
            <w:i w:val="false"/>
            <w:color w:val="000000"/>
            <w:sz w:val="22"/>
          </w:rPr>
          <w:t>70.6(11)</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including the expiration date of the cleaning verification cards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regarding the use of any recognized test kits outlined in </w:t>
      </w:r>
      <w:hyperlink r:id="rId76">
        <w:r>
          <w:rPr>
            <w:rStyle w:val="Hyperlink"/>
            <w:rFonts w:ascii="Times New Roman" w:hAnsi="Times New Roman"/>
            <w:b w:val="false"/>
            <w:i w:val="false"/>
            <w:color w:val="000000"/>
            <w:sz w:val="22"/>
          </w:rPr>
          <w:t>70.6(11)</w:t>
        </w:r>
        <w:r>
          <w:rPr>
            <w:rFonts w:ascii="Times New Roman" w:hAnsi="Times New Roman"/>
            <w:b w:val="false"/>
            <w:i/>
            <w:color w:val="000000"/>
            <w:sz w:val="22"/>
          </w:rPr>
          <w:t>“e.”</w:t>
        </w:r>
      </w:hyperlink>
      <w:r>
        <w:rPr>
          <w:rFonts w:ascii="Times New Roman" w:hAnsi="Times New Roman"/>
          <w:b w:val="false"/>
          <w:i w:val="false"/>
          <w:color w:val="000000"/>
          <w:sz w:val="22"/>
        </w:rPr>
        <w:t xml:space="preserve"> The documentation shall include a copy of the written report required by </w:t>
      </w:r>
      <w:hyperlink r:id="rId77">
        <w:r>
          <w:rPr>
            <w:rStyle w:val="Hyperlink"/>
            <w:rFonts w:ascii="Times New Roman" w:hAnsi="Times New Roman"/>
            <w:b w:val="false"/>
            <w:i w:val="false"/>
            <w:color w:val="000000"/>
            <w:sz w:val="22"/>
          </w:rPr>
          <w:t>70.6(11)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Emergency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Renovation activities that are deemed to be an emergency are exempt from the certification requirements and all of the work practice standards, except for the cleaning requirements, postrenovation cleaning verification, and the written report required by </w:t>
      </w:r>
      <w:hyperlink r:id="rId78">
        <w:r>
          <w:rPr>
            <w:rStyle w:val="Hyperlink"/>
            <w:rFonts w:ascii="Times New Roman" w:hAnsi="Times New Roman"/>
            <w:b w:val="false"/>
            <w:i w:val="false"/>
            <w:color w:val="000000"/>
            <w:sz w:val="22"/>
          </w:rPr>
          <w:t>70.6(11)</w:t>
        </w:r>
        <w:r>
          <w:rPr>
            <w:rFonts w:ascii="Times New Roman" w:hAnsi="Times New Roman"/>
            <w:b w:val="false"/>
            <w:i/>
            <w:color w:val="000000"/>
            <w:sz w:val="22"/>
          </w:rPr>
          <w:t>“f.”</w:t>
        </w:r>
      </w:hyperlink>
      <w:r>
        <w:rPr>
          <w:rFonts w:ascii="Times New Roman" w:hAnsi="Times New Roman"/>
          <w:b w:val="false"/>
          <w:i w:val="false"/>
          <w:color w:val="000000"/>
          <w:sz w:val="22"/>
        </w:rPr>
        <w:t xml:space="preserve"> All postrenovation cleaning must take place under the direction of a certified lead abatement contractor, certified lead abatement worker, or certified lead-safe renovator. The postrenovation cleaning verification after an emergency renovation must be performed by a certified lead abatement contractor, certified lead abatement worker, or certified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Emergency renovations that are required as a result of an elevated blood lead (EBL) inspection are initially exempt from the certification requirements. The work practice standards found in </w:t>
      </w:r>
      <w:hyperlink r:id="rId79">
        <w:r>
          <w:rPr>
            <w:rStyle w:val="Hyperlink"/>
            <w:rFonts w:ascii="Times New Roman" w:hAnsi="Times New Roman"/>
            <w:b w:val="false"/>
            <w:i w:val="false"/>
            <w:color w:val="000000"/>
            <w:sz w:val="22"/>
          </w:rPr>
          <w:t>70.6(11)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apply. All individuals who perform emergency renovations in response to an elevated blood lead (EBL) inspection are required to obtain certification as a lead-safe renovator, lead abatement contractor, or lead abatement worker within six months from the date the elevated blood lead (EBL) inspection report was issued. Renovations and interim controls performed in response to an elevated blood lead (EBL) inspection are required to pass clearance testing that is performed by a certified elevated blood lead (EBL) inspector/risk assessor.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70.6(12)</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2/12/20</w:t>
      </w:r>
      <w:r>
        <w:rPr>
          <w:rFonts w:ascii="Times New Roman" w:hAnsi="Times New Roman"/>
          <w:b w:val="false"/>
          <w:i w:val="false"/>
          <w:color w:val="000000"/>
          <w:sz w:val="22"/>
        </w:rPr>
        <w:t>, effective 3/18/20.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be certified as a lead inspector/risk assessor, sampling technician, or elevated blood lead (EBL) inspector/risk assessor and as a lead abatement contractor or lead abatement worker. Except as specified by paragraph </w:t>
      </w:r>
      <w:hyperlink r:id="rId80">
        <w:r>
          <w:rPr>
            <w:rStyle w:val="Hyperlink"/>
            <w:rFonts w:ascii="Times New Roman" w:hAnsi="Times New Roman"/>
            <w:b w:val="false"/>
            <w:i w:val="false"/>
            <w:color w:val="000000"/>
            <w:sz w:val="22"/>
          </w:rPr>
          <w:t>70.6(6)</w:t>
        </w:r>
        <w:r>
          <w:rPr>
            <w:rFonts w:ascii="Times New Roman" w:hAnsi="Times New Roman"/>
            <w:b w:val="false"/>
            <w:i/>
            <w:color w:val="000000"/>
            <w:sz w:val="22"/>
          </w:rPr>
          <w:t>“k”</w:t>
        </w:r>
      </w:hyperlink>
      <w:r>
        <w:rPr>
          <w:rFonts w:ascii="Times New Roman" w:hAnsi="Times New Roman"/>
          <w:b w:val="false"/>
          <w:i w:val="false"/>
          <w:color w:val="000000"/>
          <w:sz w:val="22"/>
        </w:rPr>
        <w:t xml:space="preserve"> and paragraph </w:t>
      </w:r>
      <w:hyperlink r:id="rId81">
        <w:r>
          <w:rPr>
            <w:rStyle w:val="Hyperlink"/>
            <w:rFonts w:ascii="Times New Roman" w:hAnsi="Times New Roman"/>
            <w:b w:val="false"/>
            <w:i w:val="false"/>
            <w:color w:val="000000"/>
            <w:sz w:val="22"/>
          </w:rPr>
          <w:t>70.6(8)</w:t>
        </w:r>
      </w:hyperlink>
      <w:r>
        <w:rPr>
          <w:rFonts w:ascii="Times New Roman" w:hAnsi="Times New Roman"/>
          <w:b w:val="false"/>
          <w:i/>
          <w:color w:val="000000"/>
          <w:sz w:val="22"/>
        </w:rPr>
        <w:t>“f,”</w:t>
      </w:r>
      <w:r>
        <w:rPr>
          <w:rFonts w:ascii="Times New Roman" w:hAnsi="Times New Roman"/>
          <w:b w:val="false"/>
          <w:i w:val="false"/>
          <w:color w:val="000000"/>
          <w:sz w:val="22"/>
        </w:rPr>
        <w:t xml:space="preserve"> a person who is certified both as a lead inspector/risk assessor, sampling technician, or elevated blood lead (EBL) inspector/risk assessor and as a lead abatement contractor or lead abatement worker shall not provide both lead inspection or visual risk assessment and lead abatement services at the same site unless a written consent or waiver, following full disclosure by the person, is obtained from the owner or manager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70.6(14)</w:t>
      </w:r>
      <w:r>
        <w:rPr>
          <w:rFonts w:ascii="Times New Roman" w:hAnsi="Times New Roman"/>
          <w:b w:val="false"/>
          <w:i w:val="false"/>
          <w:color w:val="000000"/>
          <w:sz w:val="22"/>
        </w:rPr>
        <w:t> </w:t>
      </w:r>
      <w:r>
        <w:rPr>
          <w:rFonts w:ascii="Times New Roman" w:hAnsi="Times New Roman"/>
          <w:b w:val="false"/>
          <w:i w:val="false"/>
          <w:color w:val="000000"/>
          <w:sz w:val="22"/>
        </w:rPr>
        <w:t xml:space="preserve">Any paint chip, dust, or soil samples collected pursuant to the work practice standards contained in subrules </w:t>
      </w:r>
      <w:hyperlink r:id="rId82">
        <w:r>
          <w:rPr>
            <w:rStyle w:val="Hyperlink"/>
            <w:rFonts w:ascii="Times New Roman" w:hAnsi="Times New Roman"/>
            <w:b w:val="false"/>
            <w:i w:val="false"/>
            <w:color w:val="000000"/>
            <w:sz w:val="22"/>
          </w:rPr>
          <w:t>70.6(1)</w:t>
        </w:r>
      </w:hyperlink>
      <w:r>
        <w:rPr>
          <w:rFonts w:ascii="Times New Roman" w:hAnsi="Times New Roman"/>
          <w:b w:val="false"/>
          <w:i w:val="false"/>
          <w:color w:val="000000"/>
          <w:sz w:val="22"/>
        </w:rPr>
        <w:t xml:space="preserve"> to </w:t>
      </w:r>
      <w:hyperlink r:id="rId83">
        <w:r>
          <w:rPr>
            <w:rStyle w:val="Hyperlink"/>
            <w:rFonts w:ascii="Times New Roman" w:hAnsi="Times New Roman"/>
            <w:b w:val="false"/>
            <w:i w:val="false"/>
            <w:color w:val="000000"/>
            <w:sz w:val="22"/>
          </w:rPr>
          <w:t>70.6(6)</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70.6(9)</w:t>
        </w:r>
      </w:hyperlink>
      <w:r>
        <w:rPr>
          <w:rFonts w:ascii="Times New Roman" w:hAnsi="Times New Roman"/>
          <w:b w:val="false"/>
          <w:i w:val="false"/>
          <w:color w:val="000000"/>
          <w:sz w:val="22"/>
        </w:rPr>
        <w:t xml:space="preserve"> shall be collected by persons certified as a lead inspector/risk assessor or an elevated blood lead (EBL) inspector/risk assessor. Any paint chip, dust, or soil samples collected pursuant to the work practice standards contained in subrule </w:t>
      </w:r>
      <w:hyperlink r:id="rId85">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 xml:space="preserve"> for clearance testing following lead abatement shall be collected by persons certified as a lead inspector/risk assessor or an elevated blood lead (EBL) inspector/risk assessor. Any dust or soil samples collected pursuant to the work practice standards contained in subrule </w:t>
      </w:r>
      <w:hyperlink r:id="rId86">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 xml:space="preserve"> for clearance testing after renovation or interim controls, paint stabilization, standard treatments, ongoing lead-based paint maintenance, and rehabilitation pursuant to 24 CFR Part 35 shall be collected only by certified sampling technicians, certified lead inspector/risk assessors, or certified elevated blood lead (EBL) inspector/risk assessors. Any paint chip, dust, or soil samples collected pursuant to the work practice standards contained in </w:t>
      </w:r>
      <w:hyperlink r:id="rId87">
        <w:r>
          <w:rPr>
            <w:rStyle w:val="Hyperlink"/>
            <w:rFonts w:ascii="Times New Roman" w:hAnsi="Times New Roman"/>
            <w:b w:val="false"/>
            <w:i w:val="false"/>
            <w:color w:val="000000"/>
            <w:sz w:val="22"/>
          </w:rPr>
          <w:t>641—70.6(135)</w:t>
        </w:r>
      </w:hyperlink>
      <w:r>
        <w:rPr>
          <w:rFonts w:ascii="Times New Roman" w:hAnsi="Times New Roman"/>
          <w:b w:val="false"/>
          <w:i w:val="false"/>
          <w:color w:val="000000"/>
          <w:sz w:val="22"/>
        </w:rPr>
        <w:t xml:space="preserve"> shall be analyzed by a recognized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70.6(15)</w:t>
      </w:r>
      <w:r>
        <w:rPr>
          <w:rFonts w:ascii="Times New Roman" w:hAnsi="Times New Roman"/>
          <w:b w:val="false"/>
          <w:i w:val="false"/>
          <w:color w:val="000000"/>
          <w:sz w:val="22"/>
        </w:rPr>
        <w:t> </w:t>
      </w:r>
      <w:r>
        <w:rPr>
          <w:rFonts w:ascii="Times New Roman" w:hAnsi="Times New Roman"/>
          <w:b w:val="false"/>
          <w:i w:val="false"/>
          <w:color w:val="000000"/>
          <w:sz w:val="22"/>
        </w:rPr>
        <w:t xml:space="preserve">Composite dust sampling shall be conducted only in the situations specified in subrules </w:t>
      </w:r>
      <w:hyperlink r:id="rId88">
        <w:r>
          <w:rPr>
            <w:rStyle w:val="Hyperlink"/>
            <w:rFonts w:ascii="Times New Roman" w:hAnsi="Times New Roman"/>
            <w:b w:val="false"/>
            <w:i w:val="false"/>
            <w:color w:val="000000"/>
            <w:sz w:val="22"/>
          </w:rPr>
          <w:t>70.6(4)</w:t>
        </w:r>
      </w:hyperlink>
      <w:r>
        <w:rPr>
          <w:rFonts w:ascii="Times New Roman" w:hAnsi="Times New Roman"/>
          <w:b w:val="false"/>
          <w:i w:val="false"/>
          <w:color w:val="000000"/>
          <w:sz w:val="22"/>
        </w:rPr>
        <w:t xml:space="preserve"> to </w:t>
      </w:r>
      <w:hyperlink r:id="rId89">
        <w:r>
          <w:rPr>
            <w:rStyle w:val="Hyperlink"/>
            <w:rFonts w:ascii="Times New Roman" w:hAnsi="Times New Roman"/>
            <w:b w:val="false"/>
            <w:i w:val="false"/>
            <w:color w:val="000000"/>
            <w:sz w:val="22"/>
          </w:rPr>
          <w:t>70.6(6)</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70.6(8)</w:t>
        </w:r>
      </w:hyperlink>
      <w:r>
        <w:rPr>
          <w:rFonts w:ascii="Times New Roman" w:hAnsi="Times New Roman"/>
          <w:b w:val="false"/>
          <w:i w:val="false"/>
          <w:color w:val="000000"/>
          <w:sz w:val="22"/>
        </w:rPr>
        <w:t>. If composite sampling is conducted, it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shall consist of at least two subsamples.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Every component that is being tested shall be included in the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Composite dust samples shall not consist of subsamples from more than one type of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results of composite dust samples shall be evaluated by comparing the residual lead level as determined by the laboratory analysis from each composite dust sample with applicable single-surface dust-lead hazard or clearance levels for lead in dust on floors, interior windowsills, and window troughs divided by half the number of subsamples in the composite sample. For example, the applicable clearance level for a composite window trough sample consisting of three subsamples would be 267 micrograms per square foot (400/1.5).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70.6(16)</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6/7/17</w:t>
      </w:r>
      <w:r>
        <w:rPr>
          <w:rFonts w:ascii="Times New Roman" w:hAnsi="Times New Roman"/>
          <w:b w:val="false"/>
          <w:i w:val="false"/>
          <w:color w:val="000000"/>
          <w:sz w:val="22"/>
        </w:rPr>
        <w:t>, effective 7/12/17.</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8502B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3104C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4906C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5763C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1.70.6.pdf" Type="http://schemas.openxmlformats.org/officeDocument/2006/relationships/hyperlink" Id="rId4"/>
    <Relationship TargetMode="External" Target="https://www.legis.iowa.gov/docs/ico/chapter/622.1.pdf" Type="http://schemas.openxmlformats.org/officeDocument/2006/relationships/hyperlink" Id="rId5"/>
    <Relationship TargetMode="External" Target="https://www.legis.iowa.gov/docs/iac/chapter/641.69.pdf" Type="http://schemas.openxmlformats.org/officeDocument/2006/relationships/hyperlink" Id="rId6"/>
    <Relationship TargetMode="External" Target="https://www.legis.iowa.gov/docs/iac/chapter/641.70.pdf" Type="http://schemas.openxmlformats.org/officeDocument/2006/relationships/hyperlink" Id="rId7"/>
    <Relationship TargetMode="External" Target="https://www.legis.iowa.gov/docs/iac/rule/641.70.3.pdf" Type="http://schemas.openxmlformats.org/officeDocument/2006/relationships/hyperlink" Id="rId8"/>
    <Relationship TargetMode="External" Target="https://www.legis.iowa.gov/docs/iac/rule/641.70.5.pdf" Type="http://schemas.openxmlformats.org/officeDocument/2006/relationships/hyperlink" Id="rId9"/>
    <Relationship TargetMode="External" Target="https://www.legis.iowa.gov/docs/ico/chapter/622.1.pdf" Type="http://schemas.openxmlformats.org/officeDocument/2006/relationships/hyperlink" Id="rId10"/>
    <Relationship TargetMode="External" Target="https://www.legis.iowa.gov/docs/iac/chapter/641.69.pdf" Type="http://schemas.openxmlformats.org/officeDocument/2006/relationships/hyperlink" Id="rId11"/>
    <Relationship TargetMode="External" Target="https://www.legis.iowa.gov/docs/iac/chapter/641.70.pdf" Type="http://schemas.openxmlformats.org/officeDocument/2006/relationships/hyperlink" Id="rId12"/>
    <Relationship TargetMode="External" Target="https://www.legis.iowa.gov/docs/iac/rule/641.70.3.pdf" Type="http://schemas.openxmlformats.org/officeDocument/2006/relationships/hyperlink" Id="rId13"/>
    <Relationship TargetMode="External" Target="https://www.legis.iowa.gov/docs/iac/rule/641.70.5.pdf" Type="http://schemas.openxmlformats.org/officeDocument/2006/relationships/hyperlink" Id="rId14"/>
    <Relationship TargetMode="External" Target="https://www.legis.iowa.gov/docs/iac/chapter/641.69.pdf" Type="http://schemas.openxmlformats.org/officeDocument/2006/relationships/hyperlink" Id="rId15"/>
    <Relationship TargetMode="External" Target="https://www.legis.iowa.gov/docs/iac/chapter/641.70.pdf" Type="http://schemas.openxmlformats.org/officeDocument/2006/relationships/hyperlink" Id="rId16"/>
    <Relationship TargetMode="External" Target="https://www.legis.iowa.gov/docs/iac/rule/641.70.3.pdf" Type="http://schemas.openxmlformats.org/officeDocument/2006/relationships/hyperlink" Id="rId17"/>
    <Relationship TargetMode="External" Target="https://www.legis.iowa.gov/docs/iac/rule/641.70.5.pdf" Type="http://schemas.openxmlformats.org/officeDocument/2006/relationships/hyperlink" Id="rId18"/>
    <Relationship TargetMode="External" Target="https://www.legis.iowa.gov/docs/iac/chapter/641.69.pdf" Type="http://schemas.openxmlformats.org/officeDocument/2006/relationships/hyperlink" Id="rId19"/>
    <Relationship TargetMode="External" Target="https://www.legis.iowa.gov/docs/iac/chapter/641.70.pdf" Type="http://schemas.openxmlformats.org/officeDocument/2006/relationships/hyperlink" Id="rId20"/>
    <Relationship TargetMode="External" Target="https://www.legis.iowa.gov/docs/iac/rule/641.70.4.pdf" Type="http://schemas.openxmlformats.org/officeDocument/2006/relationships/hyperlink" Id="rId21"/>
    <Relationship TargetMode="External" Target="https://www.legis.iowa.gov/docs/iac/rule/641.70.5.pdf" Type="http://schemas.openxmlformats.org/officeDocument/2006/relationships/hyperlink" Id="rId22"/>
    <Relationship TargetMode="External" Target="https://www.legis.iowa.gov/docs/iac/rule/641.70.6.pdf" Type="http://schemas.openxmlformats.org/officeDocument/2006/relationships/hyperlink" Id="rId23"/>
    <Relationship TargetMode="External" Target="https://www.legis.iowa.gov/docs/iac/chapter/641.69.pdf" Type="http://schemas.openxmlformats.org/officeDocument/2006/relationships/hyperlink" Id="rId24"/>
    <Relationship TargetMode="External" Target="https://www.legis.iowa.gov/docs/iac/chapter/641.70.pdf" Type="http://schemas.openxmlformats.org/officeDocument/2006/relationships/hyperlink" Id="rId25"/>
    <Relationship TargetMode="External" Target="https://www.legis.iowa.gov/docs/iac/rule/641.70.3.pdf" Type="http://schemas.openxmlformats.org/officeDocument/2006/relationships/hyperlink" Id="rId26"/>
    <Relationship TargetMode="External" Target="https://www.legis.iowa.gov/docs/iac/rule/641.70.5.pdf" Type="http://schemas.openxmlformats.org/officeDocument/2006/relationships/hyperlink" Id="rId27"/>
    <Relationship TargetMode="External" Target="https://www.legis.iowa.gov/docs/iac/chapter/641.69.pdf" Type="http://schemas.openxmlformats.org/officeDocument/2006/relationships/hyperlink" Id="rId28"/>
    <Relationship TargetMode="External" Target="https://www.legis.iowa.gov/docs/iac/chapter/641.70.pdf" Type="http://schemas.openxmlformats.org/officeDocument/2006/relationships/hyperlink" Id="rId29"/>
    <Relationship TargetMode="External" Target="https://www.legis.iowa.gov/docs/iac/rule/641.70.3.pdf" Type="http://schemas.openxmlformats.org/officeDocument/2006/relationships/hyperlink" Id="rId30"/>
    <Relationship TargetMode="External" Target="https://www.legis.iowa.gov/docs/iac/rule/641.70.5.pdf" Type="http://schemas.openxmlformats.org/officeDocument/2006/relationships/hyperlink" Id="rId31"/>
    <Relationship TargetMode="External" Target="https://www.legis.iowa.gov/docs/iac/rule/641.70.3.pdf" Type="http://schemas.openxmlformats.org/officeDocument/2006/relationships/hyperlink" Id="rId32"/>
    <Relationship TargetMode="External" Target="https://www.legis.iowa.gov/docs/iac/rule/641.70.5.pdf" Type="http://schemas.openxmlformats.org/officeDocument/2006/relationships/hyperlink" Id="rId33"/>
    <Relationship TargetMode="External" Target="https://www.legis.iowa.gov/docs/iac/rule/641.70.6.pdf" Type="http://schemas.openxmlformats.org/officeDocument/2006/relationships/hyperlink" Id="rId34"/>
    <Relationship TargetMode="External" Target="https://www.legis.iowa.gov/docs/iac/rule/641.70.6.pdf" Type="http://schemas.openxmlformats.org/officeDocument/2006/relationships/hyperlink" Id="rId35"/>
    <Relationship TargetMode="External" Target="https://www.legis.iowa.gov/docs/iac/rule/641.70.6.pdf" Type="http://schemas.openxmlformats.org/officeDocument/2006/relationships/hyperlink" Id="rId36"/>
    <Relationship TargetMode="External" Target="https://www.legis.iowa.gov/docs/iac/chapter/641.69.pdf" Type="http://schemas.openxmlformats.org/officeDocument/2006/relationships/hyperlink" Id="rId37"/>
    <Relationship TargetMode="External" Target="https://www.legis.iowa.gov/docs/iac/chapter/641.70.pdf" Type="http://schemas.openxmlformats.org/officeDocument/2006/relationships/hyperlink" Id="rId38"/>
    <Relationship TargetMode="External" Target="https://www.legis.iowa.gov/docs/iac/rule/641.70.6.pdf" Type="http://schemas.openxmlformats.org/officeDocument/2006/relationships/hyperlink" Id="rId39"/>
    <Relationship TargetMode="External" Target="https://www.legis.iowa.gov/docs/iac/chapter/641.69.pdf" Type="http://schemas.openxmlformats.org/officeDocument/2006/relationships/hyperlink" Id="rId40"/>
    <Relationship TargetMode="External" Target="https://www.legis.iowa.gov/docs/iac/chapter/641.70.pdf" Type="http://schemas.openxmlformats.org/officeDocument/2006/relationships/hyperlink" Id="rId41"/>
    <Relationship TargetMode="External" Target="https://www.legis.iowa.gov/docs/iac/rule/641.70.3.pdf" Type="http://schemas.openxmlformats.org/officeDocument/2006/relationships/hyperlink" Id="rId42"/>
    <Relationship TargetMode="External" Target="https://www.legis.iowa.gov/docs/iac/rule/641.70.5.pdf" Type="http://schemas.openxmlformats.org/officeDocument/2006/relationships/hyperlink" Id="rId43"/>
    <Relationship TargetMode="External" Target="https://www.legis.iowa.gov/docs/iac/rule/641.70.6.pdf" Type="http://schemas.openxmlformats.org/officeDocument/2006/relationships/hyperlink" Id="rId44"/>
    <Relationship TargetMode="External" Target="https://www.legis.iowa.gov/docs/iac/rule/641.70.6.pdf" Type="http://schemas.openxmlformats.org/officeDocument/2006/relationships/hyperlink" Id="rId45"/>
    <Relationship TargetMode="External" Target="https://www.legis.iowa.gov/docs/iac/rule/641.70.6.pdf" Type="http://schemas.openxmlformats.org/officeDocument/2006/relationships/hyperlink" Id="rId46"/>
    <Relationship TargetMode="External" Target="https://www.legis.iowa.gov/docs/iac/chapter/641.69.pdf" Type="http://schemas.openxmlformats.org/officeDocument/2006/relationships/hyperlink" Id="rId47"/>
    <Relationship TargetMode="External" Target="https://www.legis.iowa.gov/docs/iac/chapter/641.70.pdf" Type="http://schemas.openxmlformats.org/officeDocument/2006/relationships/hyperlink" Id="rId48"/>
    <Relationship TargetMode="External" Target="https://www.legis.iowa.gov/docs/iac/rule/641.70.3.pdf" Type="http://schemas.openxmlformats.org/officeDocument/2006/relationships/hyperlink" Id="rId49"/>
    <Relationship TargetMode="External" Target="https://www.legis.iowa.gov/docs/iac/rule/641.70.5.pdf" Type="http://schemas.openxmlformats.org/officeDocument/2006/relationships/hyperlink" Id="rId50"/>
    <Relationship TargetMode="External" Target="https://www.legis.iowa.gov/docs/iac/rule/641.70.6.pdf" Type="http://schemas.openxmlformats.org/officeDocument/2006/relationships/hyperlink" Id="rId51"/>
    <Relationship TargetMode="External" Target="https://www.legis.iowa.gov/docs/iac/rule/641.70.6.pdf" Type="http://schemas.openxmlformats.org/officeDocument/2006/relationships/hyperlink" Id="rId52"/>
    <Relationship TargetMode="External" Target="https://www.legis.iowa.gov/docs/iac/chapter/641.69.pdf" Type="http://schemas.openxmlformats.org/officeDocument/2006/relationships/hyperlink" Id="rId53"/>
    <Relationship TargetMode="External" Target="https://www.legis.iowa.gov/docs/iac/chapter/641.70.pdf" Type="http://schemas.openxmlformats.org/officeDocument/2006/relationships/hyperlink" Id="rId54"/>
    <Relationship TargetMode="External" Target="https://www.legis.iowa.gov/docs/iac/rule/641.70.3.pdf" Type="http://schemas.openxmlformats.org/officeDocument/2006/relationships/hyperlink" Id="rId55"/>
    <Relationship TargetMode="External" Target="https://www.legis.iowa.gov/docs/iac/rule/641.70.5.pdf" Type="http://schemas.openxmlformats.org/officeDocument/2006/relationships/hyperlink" Id="rId56"/>
    <Relationship TargetMode="External" Target="https://www.legis.iowa.gov/docs/iac/rule/641.70.6.pdf" Type="http://schemas.openxmlformats.org/officeDocument/2006/relationships/hyperlink" Id="rId57"/>
    <Relationship TargetMode="External" Target="https://www.legis.iowa.gov/docs/iac/chapter/641.69.pdf" Type="http://schemas.openxmlformats.org/officeDocument/2006/relationships/hyperlink" Id="rId58"/>
    <Relationship TargetMode="External" Target="https://www.legis.iowa.gov/docs/iac/chapter/641.70.pdf" Type="http://schemas.openxmlformats.org/officeDocument/2006/relationships/hyperlink" Id="rId59"/>
    <Relationship TargetMode="External" Target="https://www.legis.iowa.gov/docs/iac/rule/641.70.3.pdf" Type="http://schemas.openxmlformats.org/officeDocument/2006/relationships/hyperlink" Id="rId60"/>
    <Relationship TargetMode="External" Target="https://www.legis.iowa.gov/docs/iac/rule/641.70.5.pdf" Type="http://schemas.openxmlformats.org/officeDocument/2006/relationships/hyperlink" Id="rId61"/>
    <Relationship TargetMode="External" Target="https://www.legis.iowa.gov/docs/iac/rule/641.70.6.pdf" Type="http://schemas.openxmlformats.org/officeDocument/2006/relationships/hyperlink" Id="rId62"/>
    <Relationship TargetMode="External" Target="https://www.legis.iowa.gov/docs/iac/rule/641.70.6.pdf" Type="http://schemas.openxmlformats.org/officeDocument/2006/relationships/hyperlink" Id="rId63"/>
    <Relationship TargetMode="External" Target="https://www.legis.iowa.gov/docs/iac/rule/641.70.6.pdf" Type="http://schemas.openxmlformats.org/officeDocument/2006/relationships/hyperlink" Id="rId64"/>
    <Relationship TargetMode="External" Target="https://www.legis.iowa.gov/docs/iac/rule/641.70.6.pdf" Type="http://schemas.openxmlformats.org/officeDocument/2006/relationships/hyperlink" Id="rId65"/>
    <Relationship TargetMode="External" Target="https://www.legis.iowa.gov/docs/iac/rule/641.70.6.pdf" Type="http://schemas.openxmlformats.org/officeDocument/2006/relationships/hyperlink" Id="rId66"/>
    <Relationship TargetMode="External" Target="https://www.legis.iowa.gov/docs/iac/rule/641.70.6.pdf" Type="http://schemas.openxmlformats.org/officeDocument/2006/relationships/hyperlink" Id="rId67"/>
    <Relationship TargetMode="External" Target="https://www.legis.iowa.gov/docs/iac/rule/641.70.6.pdf" Type="http://schemas.openxmlformats.org/officeDocument/2006/relationships/hyperlink" Id="rId68"/>
    <Relationship TargetMode="External" Target="https://www.legis.iowa.gov/docs/iac/chapter/641.69.pdf" Type="http://schemas.openxmlformats.org/officeDocument/2006/relationships/hyperlink" Id="rId69"/>
    <Relationship TargetMode="External" Target="https://www.legis.iowa.gov/docs/iac/rule/641.70.6.pdf" Type="http://schemas.openxmlformats.org/officeDocument/2006/relationships/hyperlink" Id="rId70"/>
    <Relationship TargetMode="External" Target="https://www.legis.iowa.gov/docs/iac/chapter/641.69.pdf" Type="http://schemas.openxmlformats.org/officeDocument/2006/relationships/hyperlink" Id="rId71"/>
    <Relationship TargetMode="External" Target="https://www.legis.iowa.gov/docs/iac/chapter/641.70.pdf" Type="http://schemas.openxmlformats.org/officeDocument/2006/relationships/hyperlink" Id="rId72"/>
    <Relationship TargetMode="External" Target="https://www.legis.iowa.gov/docs/iac/rule/641.70.2.pdf" Type="http://schemas.openxmlformats.org/officeDocument/2006/relationships/hyperlink" Id="rId73"/>
    <Relationship TargetMode="External" Target="https://www.legis.iowa.gov/docs/iac/rule/641.70.6.pdf" Type="http://schemas.openxmlformats.org/officeDocument/2006/relationships/hyperlink" Id="rId74"/>
    <Relationship TargetMode="External" Target="https://www.legis.iowa.gov/docs/iac/rule/641.70.6.pdf" Type="http://schemas.openxmlformats.org/officeDocument/2006/relationships/hyperlink" Id="rId75"/>
    <Relationship TargetMode="External" Target="https://www.legis.iowa.gov/docs/iac/rule/641.70.6.pdf" Type="http://schemas.openxmlformats.org/officeDocument/2006/relationships/hyperlink" Id="rId76"/>
    <Relationship TargetMode="External" Target="https://www.legis.iowa.gov/docs/iac/rule/641.70.6.pdf" Type="http://schemas.openxmlformats.org/officeDocument/2006/relationships/hyperlink" Id="rId77"/>
    <Relationship TargetMode="External" Target="https://www.legis.iowa.gov/docs/iac/rule/641.70.6.pdf" Type="http://schemas.openxmlformats.org/officeDocument/2006/relationships/hyperlink" Id="rId78"/>
    <Relationship TargetMode="External" Target="https://www.legis.iowa.gov/docs/iac/rule/641.70.6.pdf" Type="http://schemas.openxmlformats.org/officeDocument/2006/relationships/hyperlink" Id="rId79"/>
    <Relationship TargetMode="External" Target="https://www.legis.iowa.gov/docs/iac/rule/641.70.6.pdf" Type="http://schemas.openxmlformats.org/officeDocument/2006/relationships/hyperlink" Id="rId80"/>
    <Relationship TargetMode="External" Target="https://www.legis.iowa.gov/docs/iac/rule/641.70.6.pdf" Type="http://schemas.openxmlformats.org/officeDocument/2006/relationships/hyperlink" Id="rId81"/>
    <Relationship TargetMode="External" Target="https://www.legis.iowa.gov/docs/iac/rule/641.70.6.pdf" Type="http://schemas.openxmlformats.org/officeDocument/2006/relationships/hyperlink" Id="rId82"/>
    <Relationship TargetMode="External" Target="https://www.legis.iowa.gov/docs/iac/rule/641.70.6.pdf" Type="http://schemas.openxmlformats.org/officeDocument/2006/relationships/hyperlink" Id="rId83"/>
    <Relationship TargetMode="External" Target="https://www.legis.iowa.gov/docs/iac/rule/641.70.6.pdf" Type="http://schemas.openxmlformats.org/officeDocument/2006/relationships/hyperlink" Id="rId84"/>
    <Relationship TargetMode="External" Target="https://www.legis.iowa.gov/docs/iac/rule/641.70.6.pdf" Type="http://schemas.openxmlformats.org/officeDocument/2006/relationships/hyperlink" Id="rId85"/>
    <Relationship TargetMode="External" Target="https://www.legis.iowa.gov/docs/iac/rule/641.70.6.pdf" Type="http://schemas.openxmlformats.org/officeDocument/2006/relationships/hyperlink" Id="rId86"/>
    <Relationship TargetMode="External" Target="https://www.legis.iowa.gov/docs/iac/rule/641.70.6.pdf" Type="http://schemas.openxmlformats.org/officeDocument/2006/relationships/hyperlink" Id="rId87"/>
    <Relationship TargetMode="External" Target="https://www.legis.iowa.gov/docs/iac/rule/641.70.6.pdf" Type="http://schemas.openxmlformats.org/officeDocument/2006/relationships/hyperlink" Id="rId88"/>
    <Relationship TargetMode="External" Target="https://www.legis.iowa.gov/docs/iac/rule/641.70.6.pdf" Type="http://schemas.openxmlformats.org/officeDocument/2006/relationships/hyperlink" Id="rId89"/>
    <Relationship TargetMode="External" Target="https://www.legis.iowa.gov/docs/iac/rule/641.70.6.pdf" Type="http://schemas.openxmlformats.org/officeDocument/2006/relationships/hyperlink" Id="rId9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