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641—70.5</w:t>
      </w:r>
      <w:r>
        <w:rPr>
          <w:rFonts w:ascii="Times New Roman" w:hAnsi="Times New Roman"/>
          <w:b/>
          <w:i w:val="false"/>
          <w:color w:val="000000"/>
          <w:sz w:val="22"/>
        </w:rPr>
        <w:t xml:space="preserve">(135) </w:t>
      </w:r>
      <w:r>
        <w:rPr>
          <w:rFonts w:ascii="Times New Roman" w:hAnsi="Times New Roman"/>
          <w:b/>
          <w:i w:val="false"/>
          <w:color w:val="000000"/>
          <w:sz w:val="22"/>
        </w:rPr>
        <w:t xml:space="preserve">Certification, interim certification, and recertification. </w:t>
      </w:r>
      <w:r>
        <w:rPr>
          <w:rFonts w:ascii="Times New Roman" w:hAnsi="Times New Roman"/>
          <w:b w:val="false"/>
          <w:i w:val="false"/>
          <w:color w:val="000000"/>
          <w:sz w:val="22"/>
        </w:rPr>
        <w:t>The department shall issue certifications and recertifications for a three-year time period. All applications for certification or recertification may be made to the department electronically in a format specified by the department or may be made to the department using a paper application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70.5(1)</w:t>
      </w:r>
      <w:r>
        <w:rPr>
          <w:rFonts w:ascii="Times New Roman" w:hAnsi="Times New Roman"/>
          <w:b w:val="false"/>
          <w:i w:val="false"/>
          <w:color w:val="000000"/>
          <w:sz w:val="22"/>
        </w:rPr>
        <w:t> </w:t>
      </w:r>
      <w:r>
        <w:rPr>
          <w:rFonts w:ascii="Times New Roman" w:hAnsi="Times New Roman"/>
          <w:b w:val="false"/>
          <w:i w:val="false"/>
          <w:color w:val="000000"/>
          <w:sz w:val="22"/>
        </w:rPr>
        <w:t>A person wishing to become a certified lead professional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completion of an approved course for the discipline in which the applicant wishes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wishing to become a certified lead inspector/risk assessor or a certified elevated blood lead (EBL) inspector/risk assessor, documentation of successful completion of the manufacturer’s training course or equivalent for the X-ray fluorescence (XRF) analyzer that the inspector/risk assessor or elevated blood lead (EBL) inspector/risk assessor will use to conduct lead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wishing to become a certified elevated blood lead (EBL) inspector/risk assessor, documentation of successful completion of an eight-hour elevated blood lead (EBL) inspector/risk assessor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applicant meets the additional experience and education requirements in subrule </w:t>
      </w:r>
      <w:hyperlink r:id="rId4">
        <w:r>
          <w:rPr>
            <w:rStyle w:val="Hyperlink"/>
            <w:rFonts w:ascii="Times New Roman" w:hAnsi="Times New Roman"/>
            <w:b w:val="false"/>
            <w:i w:val="false"/>
            <w:color w:val="000000"/>
            <w:sz w:val="22"/>
          </w:rPr>
          <w:t>70.5(2)</w:t>
        </w:r>
      </w:hyperlink>
      <w:r>
        <w:rPr>
          <w:rFonts w:ascii="Times New Roman" w:hAnsi="Times New Roman"/>
          <w:b w:val="false"/>
          <w:i w:val="false"/>
          <w:color w:val="000000"/>
          <w:sz w:val="22"/>
        </w:rPr>
        <w:t xml:space="preserve"> for the discipline in which the applicant wishes to become certified. The following documents shall be submitted as evidence that the applicant has the education and work experience required by subrule </w:t>
      </w:r>
      <w:hyperlink r:id="rId5">
        <w:r>
          <w:rPr>
            <w:rStyle w:val="Hyperlink"/>
            <w:rFonts w:ascii="Times New Roman" w:hAnsi="Times New Roman"/>
            <w:b w:val="false"/>
            <w:i w:val="false"/>
            <w:color w:val="000000"/>
            <w:sz w:val="22"/>
          </w:rPr>
          <w:t>70.5(2)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become certified as a lead inspector/risk assessor, elevated blood lead (EBL) inspector/risk assessor, lead abatement contractor, or project designer, a certificate showing that the applicant has passed the state certification examination in the discipline in which the applicant wishes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receive interim certification from the department as a lead inspector/risk assessor, elevated blood lead (EBL) inspector/risk assessor, lead abatement contractor, or project designer by submitting the items required by paragraphs </w:t>
      </w:r>
      <w:hyperlink r:id="rId6">
        <w:r>
          <w:rPr>
            <w:rStyle w:val="Hyperlink"/>
            <w:rFonts w:ascii="Times New Roman" w:hAnsi="Times New Roman"/>
            <w:b w:val="false"/>
            <w:i w:val="false"/>
            <w:color w:val="000000"/>
            <w:sz w:val="22"/>
          </w:rPr>
          <w:t>70.5(1)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to the department. Interim certification shall expire six months from the date of completion of an approved course. An applicant shall upgrade an interim certification to a certification by submitting a certificate to the department showing that the applicant has passed the state certification examination as required by paragraph </w:t>
      </w:r>
      <w:hyperlink r:id="rId7">
        <w:r>
          <w:rPr>
            <w:rStyle w:val="Hyperlink"/>
            <w:rFonts w:ascii="Times New Roman" w:hAnsi="Times New Roman"/>
            <w:b w:val="false"/>
            <w:i w:val="false"/>
            <w:color w:val="000000"/>
            <w:sz w:val="22"/>
          </w:rPr>
          <w:t>70.5(1)</w:t>
        </w:r>
        <w:r>
          <w:rPr>
            <w:rFonts w:ascii="Times New Roman" w:hAnsi="Times New Roman"/>
            <w:b w:val="false"/>
            <w:i/>
            <w:color w:val="000000"/>
            <w:sz w:val="22"/>
          </w:rPr>
          <w:t>“f.”</w:t>
        </w:r>
      </w:hyperlink>
      <w:r>
        <w:rPr>
          <w:rFonts w:ascii="Times New Roman" w:hAnsi="Times New Roman"/>
          <w:b w:val="false"/>
          <w:i w:val="false"/>
          <w:color w:val="000000"/>
          <w:sz w:val="22"/>
        </w:rPr>
        <w:t xml:space="preserve"> Interim certification is equivalent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w:t>
      </w:r>
      <w:r>
        <w:rPr>
          <w:rFonts w:ascii="Times New Roman" w:hAnsi="Times New Roman"/>
          <w:b w:val="false"/>
          <w:i w:val="false"/>
          <w:color w:val="000000"/>
          <w:sz w:val="22"/>
        </w:rPr>
        <w:t> </w:t>
      </w:r>
      <w:r>
        <w:rPr>
          <w:rFonts w:ascii="Times New Roman" w:hAnsi="Times New Roman"/>
          <w:b w:val="false"/>
          <w:i w:val="false"/>
          <w:color w:val="000000"/>
          <w:sz w:val="22"/>
        </w:rPr>
        <w:t>To become certified by the department as a lead professional, an applicant must meet the education and experience requirements for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Lead inspector/risk assessors and elevated blood lead (EBL) inspector/risk assessors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Associate’s degree and two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three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Lead abatement contractors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year of experience as a certified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years of related experience or education (e.g., lead, housing inspection, building trades, property management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required for lead abatement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Sampling technicians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Associate’s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designers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in engineering, architecture, or a related profession, and one year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years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required for lead-safe renovators.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w:t>
      </w:r>
      <w:r>
        <w:rPr>
          <w:rFonts w:ascii="Times New Roman" w:hAnsi="Times New Roman"/>
          <w:b w:val="false"/>
          <w:i w:val="false"/>
          <w:color w:val="000000"/>
          <w:sz w:val="22"/>
        </w:rPr>
        <w:t> </w:t>
      </w:r>
      <w:r>
        <w:rPr>
          <w:rFonts w:ascii="Times New Roman" w:hAnsi="Times New Roman"/>
          <w:b w:val="false"/>
          <w:i/>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department for an eligibility determination pursuant to </w:t>
      </w:r>
      <w:hyperlink r:id="rId8">
        <w:r>
          <w:rPr>
            <w:rStyle w:val="Hyperlink"/>
            <w:rFonts w:ascii="Times New Roman" w:hAnsi="Times New Roman"/>
            <w:b w:val="false"/>
            <w:i w:val="false"/>
            <w:color w:val="000000"/>
            <w:sz w:val="22"/>
          </w:rPr>
          <w:t>paragraph 70.5(3)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applicant’s convictions will be reviewed when the department receives a completed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disclose all convictions on a certification application. Failure to disclose all convictions is grounds for certification denial or disciplinary action following certification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with one or more convictions shall submit the complete criminal record for each conviction and a personal statement regarding whether each conviction directly relates to the practice of the profession in order for the certification application to be considered complete.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submit as a part of the certification application all evidence of rehabilitation that the applicant wishes to be considered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certification if the applicant has a disqualifying offense unless the applicant demonstrates by clear and convincing evidence that the applicant is rehabilitated pursuant to Iowa Code section </w:t>
      </w:r>
      <w:hyperlink r:id="rId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with one or more disqualifying offenses who has been found rehabilitated must still satisfy all other requirements for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certification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certification application may petition the department for a determination of whether one or more of the individual’s convictions are disqualifying offenses that would render the individual ineligible for certification. An individual with a conviction is not required to petition the department for an eligibility determination prior to applying for certification. To petition the department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 criminal record for each of the petitioner’s convictions;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deemed ineligible or an applicant denied a certification because of a disqualifying offense may appeal the decision in the manner and time frame set forth in the department’s written decision. A timely appeal will initiate a nondisciplinary contested case proceeding. The department’s rules governing contested case proceedings will apply unless otherwise specified in this rule. If the petitioner or applicant fails to timely appeal, the department’s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department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department’s initial ineligibility determination or certification denial and shall have the burden of proof to establish that the petitioner or applicant’s convictions include at least one disqualifying offense. Upon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certification denial in order to exhaust administrative remedies. A petitioner or applicant may only seek judicial review of an ineligibility determination or certification denial after the issuance of a final order following a contested case proceeding. Judicial review of the final order following a contested case proceeding shall be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certification application prior to the date specified in the final order. If a final order denies a certification application, the applicant may not submit a subsequent certification application or a petition for eligibility determination prior to the date specified in the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2/12/20</w:t>
      </w:r>
      <w:r>
        <w:rPr>
          <w:rFonts w:ascii="Times New Roman" w:hAnsi="Times New Roman"/>
          <w:b w:val="false"/>
          <w:i w:val="false"/>
          <w:color w:val="000000"/>
          <w:sz w:val="22"/>
        </w:rPr>
        <w:t>, effective 3/18/20.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70.5(6)</w:t>
      </w:r>
      <w:r>
        <w:rPr>
          <w:rFonts w:ascii="Times New Roman" w:hAnsi="Times New Roman"/>
          <w:b w:val="false"/>
          <w:i w:val="false"/>
          <w:color w:val="000000"/>
          <w:sz w:val="22"/>
        </w:rPr>
        <w:t> </w:t>
      </w:r>
      <w:r>
        <w:rPr>
          <w:rFonts w:ascii="Times New Roman" w:hAnsi="Times New Roman"/>
          <w:b w:val="false"/>
          <w:i w:val="false"/>
          <w:color w:val="000000"/>
          <w:sz w:val="22"/>
        </w:rPr>
        <w:t>Individuals applying for recertification as lead professionals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certificate showing that the applicant has successfully completed an approved refresher training course for the appropriate discipline. The refresher training course must be completed no more than three years prior to the date of the application for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70.5(7)</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the state certification examinations for the disciplines of lead inspector/risk assessor, elevated blood lead (EBL) inspector/risk assessor, lead abatement contractor, and project designer. The state certification examination shall be administered by selected community college testing centers in Iowa. A community college testing center shall set the fee for administering the state certification examination to each applicant and shall collect the fee from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must achieve a score of at least 80 percent on the examination. An individual may take the state certification examination no more than three times within six months of receiving a certificate of completion from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pass the state certification examination within six months of receiving a certificate of completion from an approved course, the individual must retake the appropriate approved course before reapplying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70.5(8)</w:t>
      </w:r>
      <w:r>
        <w:rPr>
          <w:rFonts w:ascii="Times New Roman" w:hAnsi="Times New Roman"/>
          <w:b w:val="false"/>
          <w:i w:val="false"/>
          <w:color w:val="000000"/>
          <w:sz w:val="22"/>
        </w:rPr>
        <w:t> </w:t>
      </w:r>
      <w:r>
        <w:rPr>
          <w:rFonts w:ascii="Times New Roman" w:hAnsi="Times New Roman"/>
          <w:b w:val="false"/>
          <w:i w:val="false"/>
          <w:color w:val="000000"/>
          <w:sz w:val="22"/>
        </w:rPr>
        <w:t xml:space="preserve">Reciprocity. Each applicant for certification who is certified in any of the disciplines specified in this rule in another state may request reciprocal certification. The department shall evaluate the requirements for certification to determine that the requirements for certification in such other state are as protective of health and the environment as the requirements for certification in Iowa. For all disciplines except lead-safe renovator and lead abatement worker, if the department determines that the requirements for certification in such other state are as protective of health and the environment as the requirements for certification in Iowa, the applicant may be certified after passing a proctored test covering Iowa-specific lead information with a score of at least 80 percent. For a lead-safe renovator and lead abatement worker, if the department determines that the requirements for certification in such other state are as protective of health and the environment as the requirements for certification in Iowa, the applicant may be certified after signing a statement indicating that the applicant has read and understands Iowa-specific lead information provided by the department. Each applicant for certification pursuant to this subrule shall submit the appropriate application accompanied by the fee for each discipline as specified in </w:t>
      </w:r>
      <w:hyperlink r:id="rId11">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70.5.pdf" Type="http://schemas.openxmlformats.org/officeDocument/2006/relationships/hyperlink" Id="rId4"/>
    <Relationship TargetMode="External" Target="https://www.legis.iowa.gov/docs/iac/rule/641.70.5.pdf" Type="http://schemas.openxmlformats.org/officeDocument/2006/relationships/hyperlink" Id="rId5"/>
    <Relationship TargetMode="External" Target="https://www.legis.iowa.gov/docs/iac/rule/641.70.5.pdf" Type="http://schemas.openxmlformats.org/officeDocument/2006/relationships/hyperlink" Id="rId6"/>
    <Relationship TargetMode="External" Target="https://www.legis.iowa.gov/docs/iac/rule/641.70.5.pdf" Type="http://schemas.openxmlformats.org/officeDocument/2006/relationships/hyperlink" Id="rId7"/>
    <Relationship TargetMode="External" Target="https://www.legis.iowa.gov/docs/iac/rule/641.70.5.pdf" Type="http://schemas.openxmlformats.org/officeDocument/2006/relationships/hyperlink" Id="rId8"/>
    <Relationship TargetMode="External" Target="https://www.legis.iowa.gov/docs/ico/chapter/272C.15.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ac/rule/641.70.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