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641—70.4</w:t>
      </w:r>
      <w:r>
        <w:rPr>
          <w:rFonts w:ascii="Times New Roman" w:hAnsi="Times New Roman"/>
          <w:b/>
          <w:i w:val="false"/>
          <w:color w:val="000000"/>
          <w:sz w:val="22"/>
        </w:rPr>
        <w:t xml:space="preserve">(135) </w:t>
      </w:r>
      <w:r>
        <w:rPr>
          <w:rFonts w:ascii="Times New Roman" w:hAnsi="Times New Roman"/>
          <w:b/>
          <w:i w:val="false"/>
          <w:color w:val="000000"/>
          <w:sz w:val="22"/>
        </w:rPr>
        <w:t xml:space="preserve">Course approval and standards. </w:t>
      </w:r>
      <w:r>
        <w:rPr>
          <w:rFonts w:ascii="Times New Roman" w:hAnsi="Times New Roman"/>
          <w:b w:val="false"/>
          <w:i w:val="false"/>
          <w:color w:val="000000"/>
          <w:sz w:val="22"/>
        </w:rPr>
        <w:t xml:space="preserve">All lead professional training courses for initial certification and refresher training must be approved by the department. Training programs shall not state that they have been approved by the state of Iowa unless they have met the requirements of </w:t>
      </w:r>
      <w:hyperlink r:id="rId4">
        <w:r>
          <w:rPr>
            <w:rStyle w:val="Hyperlink"/>
            <w:rFonts w:ascii="Times New Roman" w:hAnsi="Times New Roman"/>
            <w:b w:val="false"/>
            <w:i w:val="false"/>
            <w:color w:val="000000"/>
            <w:sz w:val="22"/>
          </w:rPr>
          <w:t>641—70.4(135)</w:t>
        </w:r>
      </w:hyperlink>
      <w:r>
        <w:rPr>
          <w:rFonts w:ascii="Times New Roman" w:hAnsi="Times New Roman"/>
          <w:b w:val="false"/>
          <w:i w:val="false"/>
          <w:color w:val="000000"/>
          <w:sz w:val="22"/>
        </w:rPr>
        <w:t xml:space="preserve"> and been approved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w:t>
      </w:r>
      <w:r>
        <w:rPr>
          <w:rFonts w:ascii="Times New Roman" w:hAnsi="Times New Roman"/>
          <w:b w:val="false"/>
          <w:i w:val="false"/>
          <w:color w:val="000000"/>
          <w:sz w:val="22"/>
        </w:rPr>
        <w:t> </w:t>
      </w:r>
      <w:r>
        <w:rPr>
          <w:rFonts w:ascii="Times New Roman" w:hAnsi="Times New Roman"/>
          <w:b w:val="false"/>
          <w:i w:val="false"/>
          <w:color w:val="000000"/>
          <w:sz w:val="22"/>
        </w:rPr>
        <w:t>Training courses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training program offering the course shall employ a training manager who has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bachelor’s or graduate degree in building construction technology, engineering, industrial hygiene, safety, public health, or a related field; or two years of experience in managing a training program specializing in environmental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Demonstrated experience, education, or training in lead professional activities, including lead inspection, lead abatement, lead-safe work practices, painting, carpentry, renovation, remodeling, occupational safety and health, or industrial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training manager shall designate a qualified principal instructor for each course who has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Demonstrated experience, education, or training in teaching workers or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Certification as a lead inspector/risk assessor, elevated blood lead (EBL) inspector/risk assessor, or lead abatement contractor. In the case of a course for training lead-safe renovators, the principal instructor may be certified as a sampling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Demonstrated experience, education, or training in lead professional activities, including lead inspection, lead abatement, lead-safe work practices, painting, carpentry, renovation, remodeling, occupational safety and health, or industrial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instructor shall be responsible for the organization of the course and oversight of the teaching of all course material. The training manager may designate guest instructors as needed to provide instruction specific to the lecture, hands-on activities, or work practice components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ensure the availability of, and provide adequate facilities for, the delivery of the lecture, course test, hands-on training, and assessment activities. This includes providing training equipment that reflects current work practices and maintaining or updating the equipment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manager shall maintain the validity and integrity of the hands-on skills assessment to ensure that it accurately evaluates the trainees’ performance of the work practices and procedures associated with the course topics contained in subrules </w:t>
      </w:r>
      <w:hyperlink r:id="rId5">
        <w:r>
          <w:rPr>
            <w:rStyle w:val="Hyperlink"/>
            <w:rFonts w:ascii="Times New Roman" w:hAnsi="Times New Roman"/>
            <w:b w:val="false"/>
            <w:i w:val="false"/>
            <w:color w:val="000000"/>
            <w:sz w:val="22"/>
          </w:rPr>
          <w:t>70.4(3)</w:t>
        </w:r>
      </w:hyperlink>
      <w:r>
        <w:rPr>
          <w:rFonts w:ascii="Times New Roman" w:hAnsi="Times New Roman"/>
          <w:b w:val="false"/>
          <w:i w:val="false"/>
          <w:color w:val="000000"/>
          <w:sz w:val="22"/>
        </w:rPr>
        <w:t xml:space="preserve"> to </w:t>
      </w:r>
      <w:hyperlink r:id="rId6">
        <w:r>
          <w:rPr>
            <w:rStyle w:val="Hyperlink"/>
            <w:rFonts w:ascii="Times New Roman" w:hAnsi="Times New Roman"/>
            <w:b w:val="false"/>
            <w:i w:val="false"/>
            <w:color w:val="000000"/>
            <w:sz w:val="22"/>
          </w:rPr>
          <w:t>70.4(17)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training manager shall maintain the validity and integrity of the course test to ensure that it accurately evaluates the trainees’ knowledge and retention of the course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course test shall be developed in accordance with the test blueprint submitted with the course approval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issue unique course completion certificates to each student who passes the course. The course completion certificate shall be issued in color. The course completion certificate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name, last name and middle initial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address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photograph of the student, and a unique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the particular course that the student completed and the course length in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Dates of course completion and test passage.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signature of the training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training manager shall develop and implement a quality control plan. The plan shall be used to maintain and improve the quality of the training program over time. This plan shall contain at least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Procedures for periodic revision of training materials and the course test to reflect changes in regulations and recommended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for the training manager to conduct an annual review of the competency of the principal instructor and all other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program shall offer courses that teach the work practice standards for conducting lead-based paint activities contained in </w:t>
      </w:r>
      <w:hyperlink r:id="rId7">
        <w:r>
          <w:rPr>
            <w:rStyle w:val="Hyperlink"/>
            <w:rFonts w:ascii="Times New Roman" w:hAnsi="Times New Roman"/>
            <w:b w:val="false"/>
            <w:i w:val="false"/>
            <w:color w:val="000000"/>
            <w:sz w:val="22"/>
          </w:rPr>
          <w:t>641—70.6(135)</w:t>
        </w:r>
      </w:hyperlink>
      <w:r>
        <w:rPr>
          <w:rFonts w:ascii="Times New Roman" w:hAnsi="Times New Roman"/>
          <w:b w:val="false"/>
          <w:i w:val="false"/>
          <w:color w:val="000000"/>
          <w:sz w:val="22"/>
        </w:rPr>
        <w:t xml:space="preserve"> and other standards developed by the department. These standards shall be taught in the appropriate courses to provide trainees with the knowledge needed to perform the lead-based paint activities they are responsible for conducting.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training manager shall ensure that each course meets the requirements in this rule for the number of training hours and hours of hands-on training. The training manager shall ensure that any student who misses more than 20 minutes of class time makes up the time before taking the course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training manager shall ensure that the training program complies at all times with all requirements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training manager shall allow the department to audit the training program to verify the contents of the application for approval and for reapproval.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maintain, and make available to the department, upon request,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documents specified in paragraph </w:t>
      </w:r>
      <w:hyperlink r:id="rId8">
        <w:r>
          <w:rPr>
            <w:rStyle w:val="Hyperlink"/>
            <w:rFonts w:ascii="Times New Roman" w:hAnsi="Times New Roman"/>
            <w:b w:val="false"/>
            <w:i w:val="false"/>
            <w:color w:val="000000"/>
            <w:sz w:val="22"/>
          </w:rPr>
          <w:t>70.4(2)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curriculum/course materials and documents reflecting any changes made to these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course test blueprint and the course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regarding how the hands-on assessment is conducted including, but not limited to, who conducts the assessment, how the skills are graded, what facilities are used, and the pass/fail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quality control plan as described in paragraph </w:t>
      </w:r>
      <w:hyperlink r:id="rId9">
        <w:r>
          <w:rPr>
            <w:rStyle w:val="Hyperlink"/>
            <w:rFonts w:ascii="Times New Roman" w:hAnsi="Times New Roman"/>
            <w:b w:val="false"/>
            <w:i w:val="false"/>
            <w:color w:val="000000"/>
            <w:sz w:val="22"/>
          </w:rPr>
          <w:t>70.4(1)</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file for each student who has completed a course. Each student file shall contain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student’s name, address, and telephone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student’s test and answer sheet.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copy of the student’s course completion certificate.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copy of the student’s hands-on skill assessment, if applicable.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photograph of the student as taken by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file for each individual course that has been offered. Each file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dates of the course.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location of the course.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instructors who taught the course.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paper or electronic copy of the curriculum used for the course.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copy of the test used for the course.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Documentation of the times that each student was present at the course, including documentation of how a student made up missed time.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course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materials that have been submitted to the department as part of the program’s application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retain all required records at the address specified on the training program approval application for a minimum of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notify the department within 30 days of changing the address specified on its training program approval application or transferring the records from that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 training program shall notify the department at least 7 days in advance of offering an approved course. The notification shall include the date(s), time(s), and location(s) where the approved course will be held. A training program shall notify the department at least 24 hours in advance of canceling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take a digital photograph of each student. The digital photograph shall be the same photograph that appears on the training certificate and is submitted to the department. The photograph shall meet the following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shall be facing the camera.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individual’s head shall not be tilted.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individual’s head shall cover approximately half of the photo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individual shall be in front of a neutral or light-colored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 shall not wear any items that detract from the face, such as hats or sunglasses. Only head coverings worn for religious reasons may be worn. Religious head coverings may not cover the face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Photographs shall be 24-bit color depth.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 training program shall roster each student who has taken the approved course into a database specified by the department. All students shall be rostered into the department database within 20 days of conclusion of an approved course. Rostering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Course completion certificate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Test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photograph of each student as taken by the training program in a format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70.4(2)</w:t>
      </w:r>
      <w:r>
        <w:rPr>
          <w:rFonts w:ascii="Times New Roman" w:hAnsi="Times New Roman"/>
          <w:b w:val="false"/>
          <w:i w:val="false"/>
          <w:color w:val="000000"/>
          <w:sz w:val="22"/>
        </w:rPr>
        <w:t> </w:t>
      </w:r>
      <w:r>
        <w:rPr>
          <w:rFonts w:ascii="Times New Roman" w:hAnsi="Times New Roman"/>
          <w:b w:val="false"/>
          <w:i w:val="false"/>
          <w:color w:val="000000"/>
          <w:sz w:val="22"/>
        </w:rPr>
        <w:t>If a training program desires approval of a course by the department, the training program shall apply to the department for approval at least 90 days before the initial offering of the course. The department may allow courses to be offered sooner if the department completes the approval in less than 90 days. The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 program name, contact person, address, email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 for which approval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Course locations, including a description of the facilities and equipment to be used for lecture and hands-on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Course agenda, including approximate times allotted to each training segment.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each reference material, text, student manual, instructor manual, and audiovisual material used in the course.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and qualifications of the training manager, principal instructor(s), and guest instructor(s). The following documents shall be submitted as evidence that training managers and principal instructors have the education, work experience, training requirements, or demonstrated experience required by subrule </w:t>
      </w:r>
      <w:hyperlink r:id="rId10">
        <w:r>
          <w:rPr>
            <w:rStyle w:val="Hyperlink"/>
            <w:rFonts w:ascii="Times New Roman" w:hAnsi="Times New Roman"/>
            <w:b w:val="false"/>
            <w:i w:val="false"/>
            <w:color w:val="000000"/>
            <w:sz w:val="22"/>
          </w:rPr>
          <w:t>70.4(1)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transcripts or diplomas as evidence of meeting the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Résumés, letters of reference, or documentation of work experience, as evidence of meeting the work experience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Certificates from lead-specific training courses, as evidence of meeting the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course test blueprint.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activities and procedures that will be used for conducting the assessment of hands-on skills for each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Maximum class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the quality control plan for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70.4(3)</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lead inspector/risk assessors and elevated blood lead (EBL) inspector/risk assessors, a course must be at least 40 training hours with a minimum of 12 hours devoted to hands-on training activities. Lead inspector/risk assessor and elevated blood lead (EBL) inspector/risk assessor training courses shall cover at least the following subjects (requirements ending in an asterisk (*) indicate areas that require hands-on activities as an integral component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an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Lead-based paint inspection methods, including selection of rooms and components for sampling or testing to determine if a property is free of lead-based paint as specified in the Guidelines for the Evaluation and Control of Lead-Based Paint Hazards in Housing ((2012), U.S. Department of Housing and Urban Development), and methods to determine if lead-based paint hazards are present in a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Paint, dust, and soil sampling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Collection of background information to perform a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Sources of environmental lead contamination such as paint, surface dust and soil, and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Visual inspection to identify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Lead hazard screen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Visual risk assessment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Reevaluation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Sampling for other sources of lead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Interpretation of lead-based paint and other lead sampling results, including all applicable federal, state, and local guidance or regulations pertaining to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Development of lead hazard control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role of interim controls, operation and maintenance activities, and renovation in reducing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lead-based paint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lead-based paint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Preparation of the final reports for lead inspections, lead-free inspections, risk assessments, visual assessments, lead hazard screens, clearance testing after lead abatement, clearance testing after renovation, reevaluation, and clearance testing after interim controls, paint stabilization, standard treatments, ongoing lead-based paint maintenance, and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w:t>
      </w:r>
      <w:hyperlink r:id="rId11">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70.4(4)</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lead inspector/risk assessors and elevated blood lead (EBL) inspector/risk assessors who have already completed an approved sampling technician course, a course must be at least 20 training hours with a minimum of 8 hours devoted to hands-on training activities. The training course shall cover at least the following subjects (requirements ending in an asterisk (*) indicate areas that require hands-on activities as an integral component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inspector/risk assessor and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Lead-based paint inspection methods, including selection of rooms and components for sampling or testing to determine if a property is free of lead-based paint as specified in the work practice standards in </w:t>
      </w:r>
      <w:hyperlink r:id="rId12">
        <w:r>
          <w:rPr>
            <w:rStyle w:val="Hyperlink"/>
            <w:rFonts w:ascii="Times New Roman" w:hAnsi="Times New Roman"/>
            <w:b w:val="false"/>
            <w:i w:val="false"/>
            <w:color w:val="000000"/>
            <w:sz w:val="22"/>
          </w:rPr>
          <w:t>641—70.6(135)</w:t>
        </w:r>
      </w:hyperlink>
      <w:r>
        <w:rPr>
          <w:rFonts w:ascii="Times New Roman" w:hAnsi="Times New Roman"/>
          <w:b w:val="false"/>
          <w:i w:val="false"/>
          <w:color w:val="000000"/>
          <w:sz w:val="22"/>
        </w:rPr>
        <w:t>, and methods to determine if lead-based paint hazards are present in a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Collection of background information to perform a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Lead hazard screen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Reevaluation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Sampling for other sources of lead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Interpretation of lead-based paint and other lead sampling results, including all applicable federal, state, and local guidance or regulations pertaining to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Development of lead hazard control options, including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role of interim controls, operation and maintenance activities, and renovation in reducing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Preparation of the final reports for lead inspections, lead-free inspections, risk assessments, lead hazard screens, reevaluation, and clearance testing after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w:t>
      </w:r>
      <w:hyperlink r:id="rId13">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70.4(5)</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elevated blood lead (EBL) inspector/risk assessors, a course must be at least eight training hours with a minimum of two hours devoted to hands-on activities and shall cover at least the following subjects (requirements ending in an asterisk (*) indicate areas that require hands-on activities as an integral component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Role and responsibility of an elevated blood lead (EBL) inspector/risk assessor.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childhood lead poisoning prevention programs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EBL lead inspection protocol described in this chapter and the EBL inspection protocol recommended by HUD.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Environmental and medical case management of lead-poisoned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Health effects of lead poisoning including an in-depth review of the scientific studies demonstrating the health effects of lead poisoning.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Chelation therapy including at what levels it is recommended and when it might not be needed.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Risk of childhood lead exposure from adult occupations or hobbies.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Case scenarios.*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641—Chapter 69.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70.4(6)</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3/31/04</w:t>
      </w:r>
      <w:r>
        <w:rPr>
          <w:rFonts w:ascii="Times New Roman" w:hAnsi="Times New Roman"/>
          <w:b w:val="false"/>
          <w:i w:val="false"/>
          <w:color w:val="000000"/>
          <w:sz w:val="22"/>
        </w:rPr>
        <w:t>, effective 5/5/04.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70.4(7)</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3/31/04</w:t>
      </w:r>
      <w:r>
        <w:rPr>
          <w:rFonts w:ascii="Times New Roman" w:hAnsi="Times New Roman"/>
          <w:b w:val="false"/>
          <w:i w:val="false"/>
          <w:color w:val="000000"/>
          <w:sz w:val="22"/>
        </w:rPr>
        <w:t>, effective 5/5/04.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70.4(8)</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lead abatement contractors, a course must be at least 40 training hours with a minimum of 12 hours devoted to hands-on activities and shall cover at least the following subjects (requirements ending in an asterisk (*) indicate areas that require hands-on activities as an integral component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and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lead abatement report, and renovation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Respiratory protection and protective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Cleanup, waste handling, and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interior and exterior containment and cleanup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record preparation and 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Record keeping for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w:t>
      </w:r>
      <w:hyperlink r:id="rId14">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70.4(9)</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lead abatement contractors who have already completed an approved lead abatement worker course, a course must be at least 16 training hours with a minimum of 4 hours devoted to hands-on activities and shall cover at least the following subjects (requirements ending in an asterisk (*) indicate areas that require hands-on activities as an integral component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and abatement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 keeping for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w:t>
      </w:r>
      <w:hyperlink r:id="rId15">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70.4(10)</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lead abatement workers, a course must be at least 24 training hours with a minimum of 8 hours devoted to hands-on activities and shall cover at least the following subjects (requirements ending in an asterisk (*) indicate areas that require hands-on activities as an integral component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and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Cleanup, waste handling, and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Respiratory protection and protective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Personal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interior and exterior containment and cleanup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record preparation and 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w:t>
      </w:r>
      <w:hyperlink r:id="rId16">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70.4(11)</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sampling technicians, a course must be at least 20 training hours with a minimum of 4 hours devoted to hands-on training activities. The training course shall cover at least the following subjects (requirements ending in an asterisk (*) indicate areas that require hands-on activities as an integral component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sampling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Methods of conducting visual risk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Paint, dust, and soil sampling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Sources of environmental lead contamination such as paint, surface dust and soil, and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Visual inspection to identify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Methods of interim controls and lead abatement for interior dust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Methods of interim controls and lead abatement for exterior dust and soil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Preparation of the final visual assessment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Preparation of clearance testing reports for clearance testing after renovation and clearance testing after interim controls, paint stabilization, standard treatments, ongoing lead-based paint maintenance, and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w:t>
      </w:r>
      <w:hyperlink r:id="rId17">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70.4(12)</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project designers, a course must be at least 48 instructional training hours with a minimum of 12 hours devoted to hands-on activities and shall cover at least the following subjects (requirements ending in an asterisk (*) indicate areas that require hands-on activities as an integral component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project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and lead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lead abatement report, and renovation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Respiratory protection and protective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Cleanup, waste handling, and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record preparation and 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Record keeping for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Lead abatement and lead hazard reduction methods, including restricted practices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abatement/cleanup or lead hazard control and reduction methods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Integration of lead abatement methods with modernization and rehabilitation projects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w:t>
      </w:r>
      <w:hyperlink r:id="rId18">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70.4(13)</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project designers who have already completed an approved lead abatement contractor course, a course must be at least 8 instructional training hours and shall cover at least the following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for large-scale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Lead abatement and lead hazard reduction methods, including restricted practices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abatement/cleanup or lead hazard control and reduction methods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Integration of lead abatement methods with modernization and rehabilitation projects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w:t>
      </w:r>
      <w:hyperlink r:id="rId19">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70.4(14)</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project designers who have already completed an approved lead abatement worker course, a course must be at least 24 instructional training hours with a minimum of 4 hours devoted to hands-on activities and shall cover at least the following subjects (requirements ending in an asterisk (*) indicate areas that require hands-on activities as an integral component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and lead abatement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Lead abatement and lead hazard reduction methods, including restricted practices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abatement/cleanup or lead hazard control and reduction methods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Integration of lead abatement methods with modernization and rehabilitation projects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w:t>
      </w:r>
      <w:hyperlink r:id="rId20">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70.4(15)</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lead-safe renovators, a course must be at least 8 instructional training hours with a minimum of 2 hours devoted to hands-on activities and shall cover at least the following subjects (requirements ending in an asterisk (*) indicate areas that require hands-on activities as an integral component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lead-based paint activities, and renovation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Renovation methods to minimize the creation of dust and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Prohibited methods of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Interior and exterior containment and cleanup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handling and disposal.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Record preparation and 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w:t>
      </w:r>
      <w:hyperlink r:id="rId21">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70.4(16)</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refresher training of sampling technicians, lead abatement contractors, lead abatement workers, and project designers, a course must be at least 8 training hours. To be approved for refresher training of lead inspector/risk assessors and elevated blood lead (EBL) inspector/risk assessors who completed an approved 24-hour training course, a course must be at least 8 training hours to meet the recertification requirements of subrule </w:t>
      </w:r>
      <w:hyperlink r:id="rId22">
        <w:r>
          <w:rPr>
            <w:rStyle w:val="Hyperlink"/>
            <w:rFonts w:ascii="Times New Roman" w:hAnsi="Times New Roman"/>
            <w:b w:val="false"/>
            <w:i w:val="false"/>
            <w:color w:val="000000"/>
            <w:sz w:val="22"/>
          </w:rPr>
          <w:t>70.5(3)</w:t>
        </w:r>
      </w:hyperlink>
      <w:r>
        <w:rPr>
          <w:rFonts w:ascii="Times New Roman" w:hAnsi="Times New Roman"/>
          <w:b w:val="false"/>
          <w:i w:val="false"/>
          <w:color w:val="000000"/>
          <w:sz w:val="22"/>
        </w:rPr>
        <w:t xml:space="preserve">. To be approved for refresher training of lead inspector/risk assessors and elevated blood lead (EBL) inspector/risk assessors to meet the recertification requirements of subrule </w:t>
      </w:r>
      <w:hyperlink r:id="rId23">
        <w:r>
          <w:rPr>
            <w:rStyle w:val="Hyperlink"/>
            <w:rFonts w:ascii="Times New Roman" w:hAnsi="Times New Roman"/>
            <w:b w:val="false"/>
            <w:i w:val="false"/>
            <w:color w:val="000000"/>
            <w:sz w:val="22"/>
          </w:rPr>
          <w:t>70.5(6)</w:t>
        </w:r>
      </w:hyperlink>
      <w:r>
        <w:rPr>
          <w:rFonts w:ascii="Times New Roman" w:hAnsi="Times New Roman"/>
          <w:b w:val="false"/>
          <w:i w:val="false"/>
          <w:color w:val="000000"/>
          <w:sz w:val="22"/>
        </w:rPr>
        <w:t>, a course must be at least 16 training hours. To be approved for refresher training of lead-safe renovators, a course must be at least 4 hours and must include a hands-on component. All refresher training courses shall cover at least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review of the curriculum topics of the initial certification course for the appropriate discipline as listed in subrules </w:t>
      </w:r>
      <w:hyperlink r:id="rId24">
        <w:r>
          <w:rPr>
            <w:rStyle w:val="Hyperlink"/>
            <w:rFonts w:ascii="Times New Roman" w:hAnsi="Times New Roman"/>
            <w:b w:val="false"/>
            <w:i w:val="false"/>
            <w:color w:val="000000"/>
            <w:sz w:val="22"/>
          </w:rPr>
          <w:t>70.4(3)</w:t>
        </w:r>
      </w:hyperlink>
      <w:r>
        <w:rPr>
          <w:rFonts w:ascii="Times New Roman" w:hAnsi="Times New Roman"/>
          <w:b w:val="false"/>
          <w:i w:val="false"/>
          <w:color w:val="000000"/>
          <w:sz w:val="22"/>
        </w:rPr>
        <w:t xml:space="preserve"> to </w:t>
      </w:r>
      <w:hyperlink r:id="rId25">
        <w:r>
          <w:rPr>
            <w:rStyle w:val="Hyperlink"/>
            <w:rFonts w:ascii="Times New Roman" w:hAnsi="Times New Roman"/>
            <w:b w:val="false"/>
            <w:i w:val="false"/>
            <w:color w:val="000000"/>
            <w:sz w:val="22"/>
          </w:rPr>
          <w:t>70.4(15)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overview of current safety practices relating to lead-based paint activities in general, as well as specific information pertaining to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laws and regulations relating to lead-based paint activities in general, as well as specific information pertaining to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Current technologies relating to lead-based paint activities in general, as well as specific information pertaining to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70.4(17)</w:t>
      </w:r>
      <w:r>
        <w:rPr>
          <w:rFonts w:ascii="Times New Roman" w:hAnsi="Times New Roman"/>
          <w:b w:val="false"/>
          <w:i w:val="false"/>
          <w:color w:val="000000"/>
          <w:sz w:val="22"/>
        </w:rPr>
        <w:t> </w:t>
      </w:r>
      <w:r>
        <w:rPr>
          <w:rFonts w:ascii="Times New Roman" w:hAnsi="Times New Roman"/>
          <w:b w:val="false"/>
          <w:i w:val="false"/>
          <w:color w:val="000000"/>
          <w:sz w:val="22"/>
        </w:rPr>
        <w:t>Approvals of training courses shall expire three years after the date of issuance. The training manager shall submit the following at least 30 days prior to the expiration date for a course to be reapproved: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Sponsoring organization name, contact person,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the courses for which reapproval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any changes to the training staff, facility, equipment, or course materials since the approval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signed by the training manager stating that the training program complies at all times with </w:t>
      </w:r>
      <w:hyperlink r:id="rId26">
        <w:r>
          <w:rPr>
            <w:rStyle w:val="Hyperlink"/>
            <w:rFonts w:ascii="Times New Roman" w:hAnsi="Times New Roman"/>
            <w:b w:val="false"/>
            <w:i w:val="false"/>
            <w:color w:val="000000"/>
            <w:sz w:val="22"/>
          </w:rPr>
          <w:t>641—70.4(135)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70.4(18)</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consider a request for approval of a training course that has been approved by a state or tribe authorized by the U.S.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course shall be approved if it meets the requirements of </w:t>
      </w:r>
      <w:hyperlink r:id="rId27">
        <w:r>
          <w:rPr>
            <w:rStyle w:val="Hyperlink"/>
            <w:rFonts w:ascii="Times New Roman" w:hAnsi="Times New Roman"/>
            <w:b w:val="false"/>
            <w:i w:val="false"/>
            <w:color w:val="000000"/>
            <w:sz w:val="22"/>
          </w:rPr>
          <w:t>641—70.4(135)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course does not meet all of the requirements of </w:t>
      </w:r>
      <w:hyperlink r:id="rId28">
        <w:r>
          <w:rPr>
            <w:rStyle w:val="Hyperlink"/>
            <w:rFonts w:ascii="Times New Roman" w:hAnsi="Times New Roman"/>
            <w:b w:val="false"/>
            <w:i w:val="false"/>
            <w:color w:val="000000"/>
            <w:sz w:val="22"/>
          </w:rPr>
          <w:t>641—70.4(135)</w:t>
        </w:r>
      </w:hyperlink>
      <w:r>
        <w:rPr>
          <w:rFonts w:ascii="Times New Roman" w:hAnsi="Times New Roman"/>
          <w:b w:val="false"/>
          <w:i w:val="false"/>
          <w:color w:val="000000"/>
          <w:sz w:val="22"/>
        </w:rPr>
        <w:t xml:space="preserve">, the department shall inform the training provider of additional topics and training hours that are needed to meet the requirements of </w:t>
      </w:r>
      <w:hyperlink r:id="rId29">
        <w:r>
          <w:rPr>
            <w:rStyle w:val="Hyperlink"/>
            <w:rFonts w:ascii="Times New Roman" w:hAnsi="Times New Roman"/>
            <w:b w:val="false"/>
            <w:i w:val="false"/>
            <w:color w:val="000000"/>
            <w:sz w:val="22"/>
          </w:rPr>
          <w:t>641—70.4(135)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8502B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3104C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4906C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5763C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70.4.pdf" Type="http://schemas.openxmlformats.org/officeDocument/2006/relationships/hyperlink" Id="rId4"/>
    <Relationship TargetMode="External" Target="https://www.legis.iowa.gov/docs/iac/rule/641.70.4.pdf" Type="http://schemas.openxmlformats.org/officeDocument/2006/relationships/hyperlink" Id="rId5"/>
    <Relationship TargetMode="External" Target="https://www.legis.iowa.gov/docs/iac/rule/641.70.4.pdf" Type="http://schemas.openxmlformats.org/officeDocument/2006/relationships/hyperlink" Id="rId6"/>
    <Relationship TargetMode="External" Target="https://www.legis.iowa.gov/docs/iac/rule/641.70.6.pdf" Type="http://schemas.openxmlformats.org/officeDocument/2006/relationships/hyperlink" Id="rId7"/>
    <Relationship TargetMode="External" Target="https://www.legis.iowa.gov/docs/iac/rule/641.70.4.pdf" Type="http://schemas.openxmlformats.org/officeDocument/2006/relationships/hyperlink" Id="rId8"/>
    <Relationship TargetMode="External" Target="https://www.legis.iowa.gov/docs/iac/rule/641.70.4.pdf" Type="http://schemas.openxmlformats.org/officeDocument/2006/relationships/hyperlink" Id="rId9"/>
    <Relationship TargetMode="External" Target="https://www.legis.iowa.gov/docs/iac/rule/641.70.4.pdf" Type="http://schemas.openxmlformats.org/officeDocument/2006/relationships/hyperlink" Id="rId10"/>
    <Relationship TargetMode="External" Target="https://www.legis.iowa.gov/docs/iac/chapter/641.69.pdf" Type="http://schemas.openxmlformats.org/officeDocument/2006/relationships/hyperlink" Id="rId11"/>
    <Relationship TargetMode="External" Target="https://www.legis.iowa.gov/docs/iac/rule/641.70.6.pdf" Type="http://schemas.openxmlformats.org/officeDocument/2006/relationships/hyperlink" Id="rId12"/>
    <Relationship TargetMode="External" Target="https://www.legis.iowa.gov/docs/iac/chapter/641.69.pdf" Type="http://schemas.openxmlformats.org/officeDocument/2006/relationships/hyperlink" Id="rId13"/>
    <Relationship TargetMode="External" Target="https://www.legis.iowa.gov/docs/iac/chapter/641.69.pdf" Type="http://schemas.openxmlformats.org/officeDocument/2006/relationships/hyperlink" Id="rId14"/>
    <Relationship TargetMode="External" Target="https://www.legis.iowa.gov/docs/iac/chapter/641.69.pdf" Type="http://schemas.openxmlformats.org/officeDocument/2006/relationships/hyperlink" Id="rId15"/>
    <Relationship TargetMode="External" Target="https://www.legis.iowa.gov/docs/iac/chapter/641.69.pdf" Type="http://schemas.openxmlformats.org/officeDocument/2006/relationships/hyperlink" Id="rId16"/>
    <Relationship TargetMode="External" Target="https://www.legis.iowa.gov/docs/iac/chapter/641.69.pdf" Type="http://schemas.openxmlformats.org/officeDocument/2006/relationships/hyperlink" Id="rId17"/>
    <Relationship TargetMode="External" Target="https://www.legis.iowa.gov/docs/iac/chapter/641.69.pdf" Type="http://schemas.openxmlformats.org/officeDocument/2006/relationships/hyperlink" Id="rId18"/>
    <Relationship TargetMode="External" Target="https://www.legis.iowa.gov/docs/iac/chapter/641.69.pdf" Type="http://schemas.openxmlformats.org/officeDocument/2006/relationships/hyperlink" Id="rId19"/>
    <Relationship TargetMode="External" Target="https://www.legis.iowa.gov/docs/iac/chapter/641.69.pdf" Type="http://schemas.openxmlformats.org/officeDocument/2006/relationships/hyperlink" Id="rId20"/>
    <Relationship TargetMode="External" Target="https://www.legis.iowa.gov/docs/iac/chapter/641.69.pdf" Type="http://schemas.openxmlformats.org/officeDocument/2006/relationships/hyperlink" Id="rId21"/>
    <Relationship TargetMode="External" Target="https://www.legis.iowa.gov/docs/iac/rule/641.70.5.pdf" Type="http://schemas.openxmlformats.org/officeDocument/2006/relationships/hyperlink" Id="rId22"/>
    <Relationship TargetMode="External" Target="https://www.legis.iowa.gov/docs/iac/rule/641.70.5.pdf" Type="http://schemas.openxmlformats.org/officeDocument/2006/relationships/hyperlink" Id="rId23"/>
    <Relationship TargetMode="External" Target="https://www.legis.iowa.gov/docs/iac/rule/641.70.4.pdf" Type="http://schemas.openxmlformats.org/officeDocument/2006/relationships/hyperlink" Id="rId24"/>
    <Relationship TargetMode="External" Target="https://www.legis.iowa.gov/docs/iac/rule/641.70.4.pdf" Type="http://schemas.openxmlformats.org/officeDocument/2006/relationships/hyperlink" Id="rId25"/>
    <Relationship TargetMode="External" Target="https://www.legis.iowa.gov/docs/iac/rule/641.70.4.pdf" Type="http://schemas.openxmlformats.org/officeDocument/2006/relationships/hyperlink" Id="rId26"/>
    <Relationship TargetMode="External" Target="https://www.legis.iowa.gov/docs/iac/rule/641.70.4.pdf" Type="http://schemas.openxmlformats.org/officeDocument/2006/relationships/hyperlink" Id="rId27"/>
    <Relationship TargetMode="External" Target="https://www.legis.iowa.gov/docs/iac/rule/641.70.4.pdf" Type="http://schemas.openxmlformats.org/officeDocument/2006/relationships/hyperlink" Id="rId28"/>
    <Relationship TargetMode="External" Target="https://www.legis.iowa.gov/docs/iac/rule/641.70.4.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