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641—70.3</w:t>
      </w:r>
      <w:r>
        <w:rPr>
          <w:rFonts w:ascii="Times New Roman" w:hAnsi="Times New Roman"/>
          <w:b/>
          <w:i w:val="false"/>
          <w:color w:val="000000"/>
          <w:sz w:val="22"/>
        </w:rPr>
        <w:t xml:space="preserve">(135) </w:t>
      </w:r>
      <w:r>
        <w:rPr>
          <w:rFonts w:ascii="Times New Roman" w:hAnsi="Times New Roman"/>
          <w:b/>
          <w:i w:val="false"/>
          <w:color w:val="000000"/>
          <w:sz w:val="22"/>
        </w:rPr>
        <w:t xml:space="preserve">Lead professional certification. </w:t>
      </w:r>
      <w:r>
        <w:rPr>
          <w:rFonts w:ascii="Times New Roman" w:hAnsi="Times New Roman"/>
          <w:b w:val="false"/>
          <w:i w:val="false"/>
          <w:color w:val="000000"/>
          <w:sz w:val="22"/>
        </w:rPr>
        <w:t xml:space="preserve">A person or a firm shall not conduct lead abatement, renovation, clearance testing after lead abatement, lead-free inspections, lead inspections, elevated blood lead (EBL) inspections, lead hazard screens, risk assessments, visual risk assessments, clearance testing after renovation, or interim controls, paint stabilization, standard treatments, ongoing lead-based paint maintenance, or rehabilitation pursuant to 24 CFR Part 35 unless the person or firm has been certified by the department in the appropriate discipline. However, persons who perform these activities within residential dwellings that they own are not required to be certified, unless the residential dwelling is occupied by a person other than the owner or a member of the owner’s immediate family while these activities are being performed. In addition, elevated blood lead (EBL) inspections shall be conducted only by certified elevated blood lead (EBL) inspector/risk assessors employed by or under contract with the department, a local board of health, or a public housing agency. In addition, persons who perform renovation under the supervision of a certified lead-safe renovator, certified lead abatement contractor, or certified lead abatement worker and who have completed on-the-job training are not required to be certified. However, on-the-job training does not meet the training requirement for work conducted pursuant to 24 CFR Part 35. Lead professionals and firms shall not state that they have been certified by the state of Iowa unless they have met the requirements of </w:t>
      </w:r>
      <w:hyperlink r:id="rId4">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been issued a current certificate by the department.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