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641—70.10</w:t>
      </w:r>
      <w:r>
        <w:rPr>
          <w:rFonts w:ascii="Times New Roman" w:hAnsi="Times New Roman"/>
          <w:b/>
          <w:i w:val="false"/>
          <w:color w:val="000000"/>
          <w:sz w:val="22"/>
        </w:rPr>
        <w:t xml:space="preserve">(135)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may refer the case to the office of the county attorney for possible criminal penalties pursuant to Iowa Code section </w:t>
      </w:r>
      <w:hyperlink r:id="rId4">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5">
        <w:r>
          <w:rPr>
            <w:rStyle w:val="Hyperlink"/>
            <w:rFonts w:ascii="Times New Roman" w:hAnsi="Times New Roman"/>
            <w:b w:val="false"/>
            <w:i w:val="false"/>
            <w:color w:val="000000"/>
            <w:sz w:val="22"/>
          </w:rPr>
          <w:t>641—70.3(135)</w:t>
        </w:r>
      </w:hyperlink>
      <w:r>
        <w:rPr>
          <w:rFonts w:ascii="Times New Roman" w:hAnsi="Times New Roman"/>
          <w:b w:val="false"/>
          <w:i w:val="false"/>
          <w:color w:val="000000"/>
          <w:sz w:val="22"/>
        </w:rPr>
        <w:t xml:space="preserve"> to 641—</w:t>
      </w:r>
      <w:hyperlink r:id="rId6">
        <w:r>
          <w:rPr>
            <w:rStyle w:val="Hyperlink"/>
            <w:rFonts w:ascii="Times New Roman" w:hAnsi="Times New Roman"/>
            <w:b w:val="false"/>
            <w:i w:val="false"/>
            <w:color w:val="000000"/>
            <w:sz w:val="22"/>
          </w:rPr>
          <w:t>70.7(135)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7">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to </w:t>
      </w:r>
      <w:hyperlink r:id="rId8">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w:t>
      </w:r>
      <w:hyperlink r:id="rId9">
        <w:r>
          <w:rPr>
            <w:rStyle w:val="Hyperlink"/>
            <w:rFonts w:ascii="Times New Roman" w:hAnsi="Times New Roman"/>
            <w:b w:val="false"/>
            <w:i w:val="false"/>
            <w:color w:val="000000"/>
            <w:sz w:val="22"/>
          </w:rPr>
          <w:t>641—70.6</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Performed work for which certification is required with employees or persons under the control of the certified elevated blood lead (EBL) inspection agency or certified firm who were not appropriately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shall be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excessive use of drugs which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suspend, revoke, or modify the approval for a course, or may place on probation, or impose other sanctions allowed by law as may be appropriate, or may impose a civil penalty or may refer the case to the office of the county attorney for possible criminal penalties pursuant to Iowa Code section </w:t>
      </w:r>
      <w:hyperlink r:id="rId10">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w:t>
      </w:r>
      <w:hyperlink r:id="rId11">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which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shall be submitted in writing to the Iowa Department of Public Health, Lead Poisoning Prevention Program, 321 East 12th Street, Des Moines, Iowa 50319-0075. The complainant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2">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 xml:space="preserve">, the department shall serve a written notice of violation upon the person charged. The notice of violation shall specify the date or dates, facts, and the nature of the alleged act or omission with which the person is charged and shall identify specifically the particular provision or provisions of the law, rule, regulation, certification, approval, or cease and desist order involved in the alleged violation and must state the amount of each proposed penalty. The notice of violation shall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shall advise the person charged that upon failure to pay a civil penalty subsequently determined by the department, if any, unless compromised, remitted, or mitigated, the fee shall be collected by civil action, pursuant to Iowa Code section </w:t>
      </w:r>
      <w:hyperlink r:id="rId13">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4">
        <w:r>
          <w:rPr>
            <w:rStyle w:val="Hyperlink"/>
            <w:rFonts w:ascii="Times New Roman" w:hAnsi="Times New Roman"/>
            <w:b w:val="false"/>
            <w:i w:val="false"/>
            <w:color w:val="000000"/>
            <w:sz w:val="22"/>
          </w:rPr>
          <w:t>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5">
        <w:r>
          <w:rPr>
            <w:rStyle w:val="Hyperlink"/>
            <w:rFonts w:ascii="Times New Roman" w:hAnsi="Times New Roman"/>
            <w:b w:val="false"/>
            <w:i w:val="false"/>
            <w:color w:val="000000"/>
            <w:sz w:val="22"/>
          </w:rPr>
          <w:t>70.10(5)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requests a hearing, the department will issue an order designating the time and place of hearing. The hearing shall be conducted according to the procedural rules of the department of inspections and appeals found in </w:t>
      </w:r>
      <w:hyperlink r:id="rId1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compromise any civil penalty. If the civil penalty is not compromised, or is not remitted by the presiding officer or the department, and if payment is not made within ten days following either the service of the order described in paragraph </w:t>
      </w:r>
      <w:hyperlink r:id="rId17">
        <w:r>
          <w:rPr>
            <w:rStyle w:val="Hyperlink"/>
            <w:rFonts w:ascii="Times New Roman" w:hAnsi="Times New Roman"/>
            <w:b w:val="false"/>
            <w:i w:val="false"/>
            <w:color w:val="000000"/>
            <w:sz w:val="22"/>
          </w:rPr>
          <w:t>70.10(5)</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or the expiration of the time for requesting a hearing described in paragraph </w:t>
      </w:r>
      <w:hyperlink r:id="rId18">
        <w:r>
          <w:rPr>
            <w:rStyle w:val="Hyperlink"/>
            <w:rFonts w:ascii="Times New Roman" w:hAnsi="Times New Roman"/>
            <w:b w:val="false"/>
            <w:i w:val="false"/>
            <w:color w:val="000000"/>
            <w:sz w:val="22"/>
          </w:rPr>
          <w:t>70.10(5)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19">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 xml:space="preserve"> shall be made by check, draft, or money order payable to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70.10(6)</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denial, suspension or revocation of certification, or denial, suspension, revocation, or modification of course approval shall be sent to the affected individual or organization by restricted certified mail, return receipt requested, or by personal service. The affected individual or organization shall have a right to appeal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of a denial, suspension or revocation or other disciplinary action shall be submitted by certified mail, return receipt requested, within 20 days of the receipt of the department’s notice to the Iowa Department of Public Health, Lead Poisoning Prevention Program, 321 East 12th Street, Des Moines, Iowa 50319-0075. If such a request is made within the 20-day time period, the notice of denial, suspension or revocation or other disciplinary action shall be deemed to be suspended. Prior to or at the hearing, the department may rescind the notice upon satisfaction that the reason for the denial, suspension or revocation or other disciplinary action has been or will be removed. After the hearing, or upon default of the applicant or alleged violator, the administrative law judge shall affirm, modify or set aside the denial, suspension or revocation or other disciplinary action. If no appeal is submitted within 20 days, the denial, suspension or revocation or other disciplinary action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transmitted to the department of inspections and appeals within five working days of receipt pursuant to the rules adopted by that agency regarding the transmission of contested cases. The information upon which the denial, suspension or revocation is based shall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restricted certified mail, return receipt requested, or delivered by personal service. The proposed decision and order then becomes the department’s final agency action without further proceedings ten days after it is received by the aggrieved party unless an appeal to the director is taken as provided in paragraph </w:t>
      </w:r>
      <w:hyperlink r:id="rId21">
        <w:r>
          <w:rPr>
            <w:rStyle w:val="Hyperlink"/>
            <w:rFonts w:ascii="Times New Roman" w:hAnsi="Times New Roman"/>
            <w:b w:val="false"/>
            <w:i w:val="false"/>
            <w:color w:val="000000"/>
            <w:sz w:val="22"/>
          </w:rPr>
          <w:t>70.10(6)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proposed findings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20 days after the decision and order becomes final. A copy of the notice of appeal shall be sent to the department by certified mail, return receipt requested, or by personal service to the Iowa Department of Public Health, Lead Poisoning Prevention Program,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70.10(7)</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shall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shall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lead professionals and firms for which certification has been suspended or revoked.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38.pdf" Type="http://schemas.openxmlformats.org/officeDocument/2006/relationships/hyperlink" Id="rId4"/>
    <Relationship TargetMode="External" Target="https://www.legis.iowa.gov/docs/iac/rule/641.70.3.pdf" Type="http://schemas.openxmlformats.org/officeDocument/2006/relationships/hyperlink" Id="rId5"/>
    <Relationship TargetMode="External" Target="https://www.legis.iowa.gov/docs/iac/rule/641.70.7.pdf" Type="http://schemas.openxmlformats.org/officeDocument/2006/relationships/hyperlink" Id="rId6"/>
    <Relationship TargetMode="External" Target="https://www.legis.iowa.gov/docs/iac/rule/641.70.9.pdf" Type="http://schemas.openxmlformats.org/officeDocument/2006/relationships/hyperlink" Id="rId7"/>
    <Relationship TargetMode="External" Target="https://www.legis.iowa.gov/docs/iac/rule/641.70.9.pdf" Type="http://schemas.openxmlformats.org/officeDocument/2006/relationships/hyperlink" Id="rId8"/>
    <Relationship TargetMode="External" Target="https://www.legis.iowa.gov/docs/iac/rule/641.70.6.pdf" Type="http://schemas.openxmlformats.org/officeDocument/2006/relationships/hyperlink" Id="rId9"/>
    <Relationship TargetMode="External" Target="https://www.legis.iowa.gov/docs/ico/chapter/135.38.pdf" Type="http://schemas.openxmlformats.org/officeDocument/2006/relationships/hyperlink" Id="rId10"/>
    <Relationship TargetMode="External" Target="https://www.legis.iowa.gov/docs/iac/rule/641.70.4.pdf" Type="http://schemas.openxmlformats.org/officeDocument/2006/relationships/hyperlink" Id="rId11"/>
    <Relationship TargetMode="External" Target="https://www.legis.iowa.gov/docs/ico/chapter/135.105A.pdf" Type="http://schemas.openxmlformats.org/officeDocument/2006/relationships/hyperlink" Id="rId12"/>
    <Relationship TargetMode="External" Target="https://www.legis.iowa.gov/docs/ico/chapter/135.105A.pdf" Type="http://schemas.openxmlformats.org/officeDocument/2006/relationships/hyperlink" Id="rId13"/>
    <Relationship TargetMode="External" Target="https://www.legis.iowa.gov/docs/iac/rule/641.70.10.pdf" Type="http://schemas.openxmlformats.org/officeDocument/2006/relationships/hyperlink" Id="rId14"/>
    <Relationship TargetMode="External" Target="https://www.legis.iowa.gov/docs/iac/rule/641.70.10.pdf" Type="http://schemas.openxmlformats.org/officeDocument/2006/relationships/hyperlink" Id="rId15"/>
    <Relationship TargetMode="External" Target="https://www.legis.iowa.gov/docs/iac/chapter/481.10.pdf" Type="http://schemas.openxmlformats.org/officeDocument/2006/relationships/hyperlink" Id="rId16"/>
    <Relationship TargetMode="External" Target="https://www.legis.iowa.gov/docs/iac/rule/641.70.10.pdf" Type="http://schemas.openxmlformats.org/officeDocument/2006/relationships/hyperlink" Id="rId17"/>
    <Relationship TargetMode="External" Target="https://www.legis.iowa.gov/docs/iac/rule/641.70.10.pdf" Type="http://schemas.openxmlformats.org/officeDocument/2006/relationships/hyperlink" Id="rId18"/>
    <Relationship TargetMode="External" Target="https://www.legis.iowa.gov/docs/ico/chapter/135.105A.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ac/rule/641.70.10.pdf" Type="http://schemas.openxmlformats.org/officeDocument/2006/relationships/hyperlink" Id="rId21"/>
    <Relationship TargetMode="External" Target="https://www.legis.iowa.gov/docs/ico/chapter/17A.19.pdf" Type="http://schemas.openxmlformats.org/officeDocument/2006/relationships/hyperlink" Id="rId22"/>
    <Relationship TargetMode="External" Target="https://www.legis.iowa.gov/docs/ico/chapter/17A.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