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641—70.1</w:t>
      </w:r>
      <w:r>
        <w:rPr>
          <w:rFonts w:ascii="Times New Roman" w:hAnsi="Times New Roman"/>
          <w:b/>
          <w:i w:val="false"/>
          <w:color w:val="000000"/>
          <w:sz w:val="22"/>
        </w:rPr>
        <w:t xml:space="preserve">(135)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This chapter applies to all persons who are lead professionals in Iowa, all firms that perform lead professional activities in Iowa, and training providers that offer training for lead professionals. This chapter requires lead professionals and firms to be certified and establishes specific requirements for how lead-based paint activities must be performed if a property owner, manager, or occupant chooses to undertake them. However, nothing in this chapter requires a property owner, manager, or occupant to undertake any particular lead-based paint activity. This chapter also provides for the approval of courses that provide training for lead professionals.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8502B</w:t>
      </w:r>
      <w:r>
        <w:rPr>
          <w:rFonts w:ascii="Times New Roman" w:hAnsi="Times New Roman"/>
          <w:b w:val="false"/>
          <w:i w:val="false"/>
          <w:color w:val="000000"/>
          <w:sz w:val="16"/>
        </w:rPr>
        <w:t>, IAB 2/10/10, effective 1/13/10</w:t>
      </w:r>
      <w:r>
        <w:rPr>
          <w:rFonts w:ascii="Times New Roman" w:hAnsi="Times New Roman"/>
          <w:b w:val="false"/>
          <w:i w:val="false"/>
          <w:color w:val="000000"/>
          <w:sz w:val="16"/>
        </w:rPr>
        <w:t xml:space="preserve">; </w:t>
      </w:r>
      <w:r>
        <w:rPr>
          <w:rFonts w:ascii="Times New Roman" w:hAnsi="Times New Roman"/>
          <w:b/>
          <w:i w:val="false"/>
          <w:color w:val="000000"/>
          <w:sz w:val="16"/>
        </w:rPr>
        <w:t>ARC 5763C</w:t>
      </w:r>
      <w:r>
        <w:rPr>
          <w:rFonts w:ascii="Times New Roman" w:hAnsi="Times New Roman"/>
          <w:b w:val="false"/>
          <w:i w:val="false"/>
          <w:color w:val="000000"/>
          <w:sz w:val="16"/>
        </w:rPr>
        <w:t>, IAB 7/14/21, effective 8/18/21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