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641—69.8</w:t>
      </w:r>
      <w:r>
        <w:rPr>
          <w:rFonts w:ascii="Times New Roman" w:hAnsi="Times New Roman"/>
          <w:b/>
          <w:i w:val="false"/>
          <w:color w:val="000000"/>
          <w:sz w:val="22"/>
        </w:rPr>
        <w:t xml:space="preserve">(135) </w:t>
      </w:r>
      <w:r>
        <w:rPr>
          <w:rFonts w:ascii="Times New Roman" w:hAnsi="Times New Roman"/>
          <w:b/>
          <w:i w:val="false"/>
          <w:color w:val="000000"/>
          <w:sz w:val="22"/>
        </w:rPr>
        <w:t xml:space="preserve">Emergency renovation, remodeling, or repainting in child-occupied facilities. </w:t>
      </w:r>
      <w:r>
        <w:rPr>
          <w:rFonts w:ascii="Times New Roman" w:hAnsi="Times New Roman"/>
          <w:b w:val="false"/>
          <w:i w:val="false"/>
          <w:color w:val="000000"/>
          <w:sz w:val="22"/>
        </w:rPr>
        <w:t>A person who performs emergency renovation, remodeling, or repainting of child-occupied facilities for compensation, except for minor repair and maintenance activities that disrupt less than 1.0 square feet of painted surface, must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building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if different, the operator of the child-occupied facility, in writing, of the remodeling, repainting, or renovation, and make the pamphlet, Lead Poisoning: How to Protect Iowa Families, or the federal pamphlet, Renovate Right, available upon request. At a minimum, this notification shall be accomplished by distributing written notice to each owner and, if different, operator of the child-occupied facility. The notice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each owner and, if different, the operator of the child-occupied facility can obtain the pamphlet,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69.8(3)</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person conducting the renovation, remodeling, or repainting shall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must be posted in areas where they can be seen by the parents or guardians of the children frequenting the child-occupied facility. The signs must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69.8(4)</w:t>
      </w:r>
      <w:r>
        <w:rPr>
          <w:rFonts w:ascii="Times New Roman" w:hAnsi="Times New Roman"/>
          <w:b w:val="false"/>
          <w:i w:val="false"/>
          <w:color w:val="000000"/>
          <w:sz w:val="22"/>
        </w:rPr>
        <w:t> </w:t>
      </w:r>
      <w:r>
        <w:rPr>
          <w:rFonts w:ascii="Times New Roman" w:hAnsi="Times New Roman"/>
          <w:b w:val="false"/>
          <w:i w:val="false"/>
          <w:color w:val="000000"/>
          <w:sz w:val="22"/>
        </w:rPr>
        <w:t>The activities in subrule 69.8(3) shall be conducted by the person planning to perform the renovation, remodeling, or repainting or by the owner or operator of the child-occupied facility on behalf of this person. Regardless of who performs the notification activities required in subrule 69.8(3), the person conducting the renovation, remodeling, or repainting shall be responsible for ensuring compliance with this rule and shall be liable for any failures to comply with the notification requirements in this 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