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641—69.5</w:t>
      </w:r>
      <w:r>
        <w:rPr>
          <w:rFonts w:ascii="Times New Roman" w:hAnsi="Times New Roman"/>
          <w:b/>
          <w:i w:val="false"/>
          <w:color w:val="000000"/>
          <w:sz w:val="22"/>
        </w:rPr>
        <w:t xml:space="preserve">(135)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must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occupant of the target housing, in writing, of the remodeling, repainting, or renovation, and make the pamphlet, Lead Poisoning: How to Protect Iowa Families, or the federal pamphlet, Renovate Right, available upon request. At a minimum, this notification shall be accomplished by distributing written notice to each owner and occupant of the target housing.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the owners and occupants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These activities shall be conducted by the person performing the renovation, remodeling, or repainting, or by the owner on behalf of this person. The person planning to perform the renovation, remodeling, or repainting must prepare, sign, and date a statement describing the steps performed to notify all occupants of the intended renovation, remodeling, or repainting, and to provide the pamphlet, Lead Poisoning: How to Protect Iowa Families, or the federal pamphlet, Renovate Right, at no charge upon request. Regardless of who performs the notification activities required in this rule, the person conducting the renovation, remodeling, or repainting shall be responsible for ensuring compliance with this rule and shall be liable for any failures to comply with the notification requirements in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