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641—69.4</w:t>
      </w:r>
      <w:r>
        <w:rPr>
          <w:rFonts w:ascii="Times New Roman" w:hAnsi="Times New Roman"/>
          <w:b/>
          <w:i w:val="false"/>
          <w:color w:val="000000"/>
          <w:sz w:val="22"/>
        </w:rPr>
        <w:t xml:space="preserve">(135) </w:t>
      </w:r>
      <w:r>
        <w:rPr>
          <w:rFonts w:ascii="Times New Roman" w:hAnsi="Times New Roman"/>
          <w:b/>
          <w:i w:val="false"/>
          <w:color w:val="000000"/>
          <w:sz w:val="22"/>
        </w:rPr>
        <w:t xml:space="preserve">Notification required in multifamily housing. </w:t>
      </w:r>
      <w:r>
        <w:rPr>
          <w:rFonts w:ascii="Times New Roman" w:hAnsi="Times New Roman"/>
          <w:b w:val="false"/>
          <w:i w:val="false"/>
          <w:color w:val="000000"/>
          <w:sz w:val="22"/>
        </w:rPr>
        <w:t>A person who performs renovation, remodeling, or repainting of common areas for compensation, except for emergency renovation, remodeling, or repainting of target housing, and except for minor repair and maintenance activities that disrupt less than 1.0 square feet of painted surface, must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of the multifamily target housing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multifamily target housing where renovation, remodeling, or repainting will be performed affirming that the owner has received the pamphlet prior to the start of renovation, remodeling, or repainting and is aware of the potential health hazards from remodeling, renovating, or repainting housing containing lead-based paint. The acknowledgment shall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owner’s name and the address of the multifamily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shall require 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shall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must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which is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Notify each occupant of the multifamily housing, in writing, of the intended remodeling, repainting, or renovation, and make the pamphlet, Lead Poisoning: How to Protect Iowa Families, or the federal pamphlet, Renovate Right, available upon request. At a minimum, this notification shall be accomplished by distributing written notice to each occupant of the target housing. The notice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starting and ending dates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how the owners and occupants can obtain the pamphlet,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These activities shall be conducted by the person planning to perform the renovation, remodeling, or repainting, or by the owner on behalf of this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planning to perform the renovation, remodeling, or repainting must prepare, sign, and date a statement describing the steps performed to notify all occupants of the intended renovation, remodeling, or repainting, and to provide the pamphlet, Lead Poisoning: How to Protect Iowa Families, or the federal pamphlet, Renovate Right, at no charge upon request. Regardless of who performs the notification activities required in this subrule, the person planning to conduct the renovation, remodeling, or repainting shall be responsible for ensuring compliance with this subrule and shall be liable for any failures to comply with the notification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to the owner, the person conducting the renovation, remodeling, or repainting may obtain a certificate of mailing the pamphlet and written acknowledgment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and occupants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