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“Certificate of mailing” </w:t>
      </w:r>
      <w:r>
        <w:rPr>
          <w:rFonts w:ascii="Times New Roman" w:hAnsi="Times New Roman"/>
          <w:b w:val="false"/>
          <w:i w:val="false"/>
          <w:color w:val="000000"/>
          <w:sz w:val="22"/>
        </w:rPr>
        <w:t>means certified mail with return receipt or its equivalent.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that is described by all of the following: (1) The building is visited on a regular basis by the same child, who is less than six years of age, on at least two different days within any week. For purposes of this chapter, a week is a Sunday through Saturday period. (2) Each day’s visit by the child lasts at least 3 hours, and the combined annual visits total at least 60 hours. A child-occupied facility may include, but is not limited to, a child care center, preschool, or kindergarten classroom. A child-occupied facility also includes common areas that are routinely used by children who are less than six years of age, such as restrooms and cafeterias, and the exterior walls and adjoining space of the building that are immediately adjacent to the child-occupied facility or the common areas routinely used by children under the age of six years. “Child-occupied facility” also includes any building where lead-based paint activities are conducted immediately prior to or during the conversion of the building to a child-occupied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equal to or exceeding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remodeling, or repainting”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“Renovation, remodeling, repainting”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w:t>
      </w:r>
      <w:hyperlink r:id="rId4">
        <w:r>
          <w:rPr>
            <w:rStyle w:val="Hyperlink"/>
            <w:rFonts w:ascii="Times New Roman" w:hAnsi="Times New Roman"/>
            <w:b w:val="false"/>
            <w:i w:val="false"/>
            <w:color w:val="000000"/>
            <w:sz w:val="22"/>
          </w:rPr>
          <w:t>641—70.2(135)</w:t>
        </w:r>
      </w:hyperlink>
      <w:r>
        <w:rPr>
          <w:rFonts w:ascii="Times New Roman" w:hAnsi="Times New Roman"/>
          <w:b w:val="false"/>
          <w:i w:val="false"/>
          <w:color w:val="000000"/>
          <w:sz w:val="22"/>
        </w:rPr>
        <w:t xml:space="preserve"> and is performed by a certified lead abatement contractor as defined in </w:t>
      </w:r>
      <w:hyperlink r:id="rId5">
        <w:r>
          <w:rPr>
            <w:rStyle w:val="Hyperlink"/>
            <w:rFonts w:ascii="Times New Roman" w:hAnsi="Times New Roman"/>
            <w:b w:val="false"/>
            <w:i w:val="false"/>
            <w:color w:val="000000"/>
            <w:sz w:val="22"/>
          </w:rPr>
          <w:t>641—70.2(135)</w:t>
        </w:r>
      </w:hyperlink>
      <w:r>
        <w:rPr>
          <w:rFonts w:ascii="Times New Roman" w:hAnsi="Times New Roman"/>
          <w:b w:val="false"/>
          <w:i w:val="false"/>
          <w:color w:val="000000"/>
          <w:sz w:val="22"/>
        </w:rPr>
        <w:t>. This includes, but is not limited to, removing walls, ceilings, and other painted building components; window replacement; floor refinishing; and sanding, scraping, stripping, water blasting, or otherwise removing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means housing constructed prior to 1978 with the exception of housing for the elderly or for persons with disabilities, unless at least one child under the age of six years resides or is expected to reside in the housing, and housing which does not contain a bedroom.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5684C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2.pdf" Type="http://schemas.openxmlformats.org/officeDocument/2006/relationships/hyperlink" Id="rId4"/>
    <Relationship TargetMode="External" Target="https://www.legis.iowa.gov/docs/iac/rule/641.70.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