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641—69.14</w:t>
      </w:r>
      <w:r>
        <w:rPr>
          <w:rFonts w:ascii="Times New Roman" w:hAnsi="Times New Roman"/>
          <w:b/>
          <w:i w:val="false"/>
          <w:color w:val="000000"/>
          <w:sz w:val="22"/>
        </w:rPr>
        <w:t xml:space="preserve">(135)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4">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 xml:space="preserve"> and this rule and may refer the case to the office of the county attorney for possible criminal penalties pursuant to Iowa Code section </w:t>
      </w:r>
      <w:hyperlink r:id="rId5">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6">
        <w:r>
          <w:rPr>
            <w:rStyle w:val="Hyperlink"/>
            <w:rFonts w:ascii="Times New Roman" w:hAnsi="Times New Roman"/>
            <w:b w:val="false"/>
            <w:i w:val="false"/>
            <w:color w:val="000000"/>
            <w:sz w:val="22"/>
          </w:rPr>
          <w:t>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person who performs renovation, remodeling, or repainting for compensation in target housing or a child-occupied facility shall be submitted in writing to the Iowa Department of Public Health, Lead Poisoning Prevention Program, 321 East 12th Street, Des Moines, Iowa 50319-0075. The complainant shall provide the name of the person who performs renovation, remodeling, or repainting for compensation in target housing or a child-occupied facility and the specific details of the person’s action(s) that did not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7">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 xml:space="preserve">, the department shall serve a written notice of violation upon the person charged. The notice of violation shall specify the date or dates, facts, and the nature of the alleged act or omission with which the person is charged and shall identify specifically the particular provision or provisions of the law, rule, regulation, or cease and desist order involved in the alleged violation and must state the amount of each proposed penalty. The notice of violation shall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shall advise the person charged that upon failure to pay a civil penalty subsequently determined by the department, if any, unless compromised, remitted, or mitigated, the fee shall be collected by civil action pursuant to Iowa Code section </w:t>
      </w:r>
      <w:hyperlink r:id="rId8">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a violation fails to answer within the time specified in paragraph 69.14(3)</w:t>
      </w:r>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69.14(3)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a violation requests a hearing, the department will issue an order designating the time and place of hearing. The hearing shall be conducted according to the procedural rules of the department of inspections and appeals found in </w:t>
      </w:r>
      <w:hyperlink r:id="rId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department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compromise any civil penalty. If the civil penalty is not compromised or is not remitted by the presiding officer or the department or if the time for requesting a hearing described in paragraph 69.14(3)</w:t>
      </w:r>
      <w:r>
        <w:rPr>
          <w:rFonts w:ascii="Times New Roman" w:hAnsi="Times New Roman"/>
          <w:b w:val="false"/>
          <w:i/>
          <w:color w:val="000000"/>
          <w:sz w:val="22"/>
        </w:rPr>
        <w:t>“d”</w:t>
      </w:r>
      <w:r>
        <w:rPr>
          <w:rFonts w:ascii="Times New Roman" w:hAnsi="Times New Roman"/>
          <w:b w:val="false"/>
          <w:i w:val="false"/>
          <w:color w:val="000000"/>
          <w:sz w:val="22"/>
        </w:rPr>
        <w:t xml:space="preserve"> has expired,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10">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 xml:space="preserve"> shall be made by check, draft, or money order payable to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the civil penalty shall be sent to the affected person by certified mail, return receipt requested, or by personal service. The affected person shall have a right to appeal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appeal of a civil penalty shall be submitted by certified mail, return receipt requested, to the Iowa Department of Public Health, Lead Poisoning Prevention Program, 321 East 12th Street, Des Moines, Iowa 50319-0075, within 20 days of receipt of the department’s notice. If such a request is made within the 20-day time period, the notice of civil penalty shall be deemed to be suspended. Prior to or at the hearing, the department may rescind the notice upon satisfaction that the reason for the civil penalty has been or will be removed. After the hearing, or upon default of the applicant or alleged violator, the administrative law judge shall affirm, modify or set aside the civil penalty. If no appeal is submitted within 20 days, the civil penalty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transmitted to the department of inspections and appeals within 5 working days of receipt pursuant to the rules adopted by that agency regarding the transmission of contested cases. The information upon which the civil penalty is based shall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11">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shall be served by restricted certified mail, return receipt requested, or delivered by personal service. The proposed decision and order then becomes the department’s final agency action without further proceedings 10 days after it is received by the aggrieved party unless an appeal to the director is taken as provided in paragraph 69.14(4)</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10 days after the receipt of the administrative law judge’s proposed decision and order by the aggrieved party. A copy of the appeal shall also be mailed to the administrative law judge. Any request for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proposed findings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20 days after the decision and order becomes final. A copy of the notice of appeal shall be sent by certified mail, return receipt requested, or by personal service to the Iowa Department of Public Health, Lead Poisoning Prevention Program,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105C.pdf" Type="http://schemas.openxmlformats.org/officeDocument/2006/relationships/hyperlink" Id="rId4"/>
    <Relationship TargetMode="External" Target="https://www.legis.iowa.gov/docs/ico/chapter/135.38.pdf" Type="http://schemas.openxmlformats.org/officeDocument/2006/relationships/hyperlink" Id="rId5"/>
    <Relationship TargetMode="External" Target="https://www.legis.iowa.gov/docs/iac/rule/641.69.14.pdf" Type="http://schemas.openxmlformats.org/officeDocument/2006/relationships/hyperlink" Id="rId6"/>
    <Relationship TargetMode="External" Target="https://www.legis.iowa.gov/docs/ico/chapter/135.105C.pdf" Type="http://schemas.openxmlformats.org/officeDocument/2006/relationships/hyperlink" Id="rId7"/>
    <Relationship TargetMode="External" Target="https://www.legis.iowa.gov/docs/ico/chapter/135.105C.pdf" Type="http://schemas.openxmlformats.org/officeDocument/2006/relationships/hyperlink" Id="rId8"/>
    <Relationship TargetMode="External" Target="https://www.legis.iowa.gov/docs/iac/chapter/481.10.pdf" Type="http://schemas.openxmlformats.org/officeDocument/2006/relationships/hyperlink" Id="rId9"/>
    <Relationship TargetMode="External" Target="https://www.legis.iowa.gov/docs/ico/chapter/135.105C.pdf" Type="http://schemas.openxmlformats.org/officeDocument/2006/relationships/hyperlink" Id="rId10"/>
    <Relationship TargetMode="External" Target="https://www.legis.iowa.gov/docs/iac/chapter/481.10.pdf" Type="http://schemas.openxmlformats.org/officeDocument/2006/relationships/hyperlink" Id="rId11"/>
    <Relationship TargetMode="External" Target="https://www.legis.iowa.gov/docs/ico/chapter/17A.19.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