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641—61.4</w:t>
      </w:r>
      <w:r>
        <w:rPr>
          <w:rFonts w:ascii="Times New Roman" w:hAnsi="Times New Roman"/>
          <w:b/>
          <w:i w:val="false"/>
          <w:color w:val="000000"/>
          <w:sz w:val="22"/>
        </w:rPr>
        <w:t xml:space="preserve">(105) </w:t>
      </w:r>
      <w:r>
        <w:rPr>
          <w:rFonts w:ascii="Times New Roman" w:hAnsi="Times New Roman"/>
          <w:b/>
          <w:i w:val="false"/>
          <w:color w:val="000000"/>
          <w:sz w:val="22"/>
        </w:rPr>
        <w:t xml:space="preserve">Hospitals and health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 that is required to meet the provisions of the state mechanical code shall be deemed to be in compliance with the fire safety requirements of the state mechanical code if the hospital is in compliance with the provisions of rule </w:t>
      </w:r>
      <w:hyperlink r:id="rId4">
        <w:r>
          <w:rPr>
            <w:rStyle w:val="Hyperlink"/>
            <w:rFonts w:ascii="Times New Roman" w:hAnsi="Times New Roman"/>
            <w:b w:val="false"/>
            <w:i w:val="false"/>
            <w:color w:val="000000"/>
            <w:sz w:val="22"/>
          </w:rPr>
          <w:t>661—205.5</w:t>
        </w:r>
      </w:hyperlink>
      <w:r>
        <w:rPr>
          <w:rFonts w:ascii="Times New Roman" w:hAnsi="Times New Roman"/>
          <w:b w:val="false"/>
          <w:i w:val="false"/>
          <w:color w:val="000000"/>
          <w:sz w:val="22"/>
        </w:rPr>
        <w:t>(100). In any other case in which an applicable requirement of the Life Safety Code is inconsistent with an applicable requirement of the state mechanical code, the hospital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or hospice that is required to meet the provisions of the state mechanical code shall be deemed to be in compliance with the fire safety requirements of the state mechanical code if the nursing facility or hospice is in compliance with the provisions of rule </w:t>
      </w:r>
      <w:hyperlink r:id="rId5">
        <w:r>
          <w:rPr>
            <w:rStyle w:val="Hyperlink"/>
            <w:rFonts w:ascii="Times New Roman" w:hAnsi="Times New Roman"/>
            <w:b w:val="false"/>
            <w:i w:val="false"/>
            <w:color w:val="000000"/>
            <w:sz w:val="22"/>
          </w:rPr>
          <w:t>661—205.10</w:t>
        </w:r>
      </w:hyperlink>
      <w:r>
        <w:rPr>
          <w:rFonts w:ascii="Times New Roman" w:hAnsi="Times New Roman"/>
          <w:b w:val="false"/>
          <w:i w:val="false"/>
          <w:color w:val="000000"/>
          <w:sz w:val="22"/>
        </w:rPr>
        <w:t>(100). In any other case in which an applicable requirement of the Life Safety Code is inconsistent with an applicable requirement of the state mechanical code, the nursing facility or hospice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intermediate care facility for persons with an intellectual disability or intermediate care facility for persons with mental illness that is required to meet the provisions of the state mechanical code shall be deemed to be in compliance with the fire safety requirements of the state mechanical code if the intermediate care facility is in compliance with the provisions of rule </w:t>
      </w:r>
      <w:hyperlink r:id="rId6">
        <w:r>
          <w:rPr>
            <w:rStyle w:val="Hyperlink"/>
            <w:rFonts w:ascii="Times New Roman" w:hAnsi="Times New Roman"/>
            <w:b w:val="false"/>
            <w:i w:val="false"/>
            <w:color w:val="000000"/>
            <w:sz w:val="22"/>
          </w:rPr>
          <w:t>661—205.15</w:t>
        </w:r>
      </w:hyperlink>
      <w:r>
        <w:rPr>
          <w:rFonts w:ascii="Times New Roman" w:hAnsi="Times New Roman"/>
          <w:b w:val="false"/>
          <w:i w:val="false"/>
          <w:color w:val="000000"/>
          <w:sz w:val="22"/>
        </w:rPr>
        <w:t>(100). In any other case in which an applicable requirement of the Life Safety Code is inconsistent with an applicable requirement of the state mechanical code, the intermediate care facility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61.4(4)</w:t>
      </w:r>
      <w:r>
        <w:rPr>
          <w:rFonts w:ascii="Times New Roman" w:hAnsi="Times New Roman"/>
          <w:b w:val="false"/>
          <w:i w:val="false"/>
          <w:color w:val="000000"/>
          <w:sz w:val="22"/>
        </w:rPr>
        <w:t> </w:t>
      </w:r>
      <w:r>
        <w:rPr>
          <w:rFonts w:ascii="Times New Roman" w:hAnsi="Times New Roman"/>
          <w:b w:val="false"/>
          <w:i w:val="false"/>
          <w:color w:val="000000"/>
          <w:sz w:val="22"/>
        </w:rPr>
        <w:t xml:space="preserve">An ambulatory health care facility that is required to meet the provisions of the state mechanical code shall be deemed to be in compliance with the fire safety requirements of the state mechanical code if the ambulatory health care facility is in compliance with the provisions of rule </w:t>
      </w:r>
      <w:hyperlink r:id="rId7">
        <w:r>
          <w:rPr>
            <w:rStyle w:val="Hyperlink"/>
            <w:rFonts w:ascii="Times New Roman" w:hAnsi="Times New Roman"/>
            <w:b w:val="false"/>
            <w:i w:val="false"/>
            <w:color w:val="000000"/>
            <w:sz w:val="22"/>
          </w:rPr>
          <w:t>661—205.20</w:t>
        </w:r>
      </w:hyperlink>
      <w:r>
        <w:rPr>
          <w:rFonts w:ascii="Times New Roman" w:hAnsi="Times New Roman"/>
          <w:b w:val="false"/>
          <w:i w:val="false"/>
          <w:color w:val="000000"/>
          <w:sz w:val="22"/>
        </w:rPr>
        <w:t>(100). In any other case in which an applicable requirement of the Life Safety Code is inconsistent with an applicable requirement of the state mechanical code, the ambulatory health care facility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61.4(5)</w:t>
      </w:r>
      <w:r>
        <w:rPr>
          <w:rFonts w:ascii="Times New Roman" w:hAnsi="Times New Roman"/>
          <w:b w:val="false"/>
          <w:i w:val="false"/>
          <w:color w:val="000000"/>
          <w:sz w:val="22"/>
        </w:rPr>
        <w:t> </w:t>
      </w:r>
      <w:r>
        <w:rPr>
          <w:rFonts w:ascii="Times New Roman" w:hAnsi="Times New Roman"/>
          <w:b w:val="false"/>
          <w:i w:val="false"/>
          <w:color w:val="000000"/>
          <w:sz w:val="22"/>
        </w:rPr>
        <w:t xml:space="preserve">A religious nonmedical health care institution that is required to meet the provisions of the state mechanical code shall be deemed to be in compliance with the provisions of the state mechanical code if the institution is in compliance with the provisions of rule </w:t>
      </w:r>
      <w:hyperlink r:id="rId8">
        <w:r>
          <w:rPr>
            <w:rStyle w:val="Hyperlink"/>
            <w:rFonts w:ascii="Times New Roman" w:hAnsi="Times New Roman"/>
            <w:b w:val="false"/>
            <w:i w:val="false"/>
            <w:color w:val="000000"/>
            <w:sz w:val="22"/>
          </w:rPr>
          <w:t>661—205.25</w:t>
        </w:r>
      </w:hyperlink>
      <w:r>
        <w:rPr>
          <w:rFonts w:ascii="Times New Roman" w:hAnsi="Times New Roman"/>
          <w:b w:val="false"/>
          <w:i w:val="false"/>
          <w:color w:val="000000"/>
          <w:sz w:val="22"/>
        </w:rPr>
        <w:t>(100). In any other case in which an applicable requirement of the Life Safety Code is inconsistent with an applicable requirement of the state mechanical code, the religious nonmedical health care institution shall be deemed to be in compliance with the state mechanical code requirement if the Life Safety Code requirement is met.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1494C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5627C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61.205.5.pdf" Type="http://schemas.openxmlformats.org/officeDocument/2006/relationships/hyperlink" Id="rId4"/>
    <Relationship TargetMode="External" Target="https://www.legis.iowa.gov/docs/iac/rule/661.205.10.pdf" Type="http://schemas.openxmlformats.org/officeDocument/2006/relationships/hyperlink" Id="rId5"/>
    <Relationship TargetMode="External" Target="https://www.legis.iowa.gov/docs/iac/rule/661.205.15.pdf" Type="http://schemas.openxmlformats.org/officeDocument/2006/relationships/hyperlink" Id="rId6"/>
    <Relationship TargetMode="External" Target="https://www.legis.iowa.gov/docs/iac/rule/661.205.20.pdf" Type="http://schemas.openxmlformats.org/officeDocument/2006/relationships/hyperlink" Id="rId7"/>
    <Relationship TargetMode="External" Target="https://www.legis.iowa.gov/docs/iac/rule/661.205.2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