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641—61.2</w:t>
      </w:r>
      <w:r>
        <w:rPr>
          <w:rFonts w:ascii="Times New Roman" w:hAnsi="Times New Roman"/>
          <w:b/>
          <w:i w:val="false"/>
          <w:color w:val="000000"/>
          <w:sz w:val="22"/>
        </w:rPr>
        <w:t xml:space="preserve">(105)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Sections 101 and 102 and Chapters 2 to 15 of the International Mechanical Code, 2021 edition, published by the International Code Council, 4051 West Flossmoor Road, Country Club Hills, IL 60478, are hereby adopted by reference as the requirements for the design, installation, maintenance, alteration, and inspection of mechanical systems that are permanently installed and utilized to provide control of environmental conditions and related processes within buildings and premises in Iowa.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1494C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2473C</w:t>
      </w:r>
      <w:r>
        <w:rPr>
          <w:rFonts w:ascii="Times New Roman" w:hAnsi="Times New Roman"/>
          <w:b w:val="false"/>
          <w:i w:val="false"/>
          <w:color w:val="000000"/>
          <w:sz w:val="16"/>
        </w:rPr>
        <w:t>, IAB 3/30/16,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4613C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5627C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