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641—25.5</w:t>
      </w:r>
      <w:r>
        <w:rPr>
          <w:rFonts w:ascii="Times New Roman" w:hAnsi="Times New Roman"/>
          <w:b/>
          <w:i w:val="false"/>
          <w:color w:val="000000"/>
          <w:sz w:val="22"/>
        </w:rPr>
        <w:t xml:space="preserve">(105) </w:t>
      </w:r>
      <w:r>
        <w:rPr>
          <w:rFonts w:ascii="Times New Roman" w:hAnsi="Times New Roman"/>
          <w:b/>
          <w:i w:val="false"/>
          <w:color w:val="000000"/>
          <w:sz w:val="22"/>
        </w:rPr>
        <w:t xml:space="preserve">Backflow prevention with containment. </w:t>
      </w:r>
      <w:r>
        <w:rPr>
          <w:rFonts w:ascii="Times New Roman" w:hAnsi="Times New Roman"/>
          <w:b w:val="false"/>
          <w:i w:val="false"/>
          <w:color w:val="000000"/>
          <w:sz w:val="22"/>
        </w:rPr>
        <w:t xml:space="preserve">Cities with populations of 15,000 or greater as determined by the 2010 census or any subsequent regular or special census shall have a backflow prevention program with containment. The minimum requirements for a program are given in subrules </w:t>
      </w:r>
      <w:hyperlink r:id="rId4">
        <w:r>
          <w:rPr>
            <w:rStyle w:val="Hyperlink"/>
            <w:rFonts w:ascii="Times New Roman" w:hAnsi="Times New Roman"/>
            <w:b w:val="false"/>
            <w:i w:val="false"/>
            <w:color w:val="000000"/>
            <w:sz w:val="22"/>
          </w:rPr>
          <w:t>25.5(1)</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25.5(5)</w:t>
        </w:r>
      </w:hyperlink>
      <w:r>
        <w:rPr>
          <w:rFonts w:ascii="Times New Roman" w:hAnsi="Times New Roman"/>
          <w:b w:val="false"/>
          <w:i w:val="false"/>
          <w:color w:val="000000"/>
          <w:sz w:val="22"/>
        </w:rPr>
        <w:t>. These requirements are in addition to the applicable requirements of Section 603 of the Uniform Plumbing Code, 2021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are added to those in Chapter 2 and Section 603 of the Uniform Plumbing Code, 2021 Edition, or are modified from those definitions for the purposes of rule </w:t>
      </w:r>
      <w:hyperlink r:id="rId6">
        <w:r>
          <w:rPr>
            <w:rStyle w:val="Hyperlink"/>
            <w:rFonts w:ascii="Times New Roman" w:hAnsi="Times New Roman"/>
            <w:b w:val="false"/>
            <w:i w:val="false"/>
            <w:color w:val="000000"/>
            <w:sz w:val="22"/>
          </w:rPr>
          <w:t>641—25.5</w:t>
        </w:r>
      </w:hyperlink>
      <w:r>
        <w:rPr>
          <w:rFonts w:ascii="Times New Roman" w:hAnsi="Times New Roman"/>
          <w:b w:val="false"/>
          <w:i w:val="false"/>
          <w:color w:val="000000"/>
          <w:sz w:val="22"/>
        </w:rPr>
        <w:t>(105)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The administrative authority for this rule is the city council and its designees or, with respect to private water utilities, the Iowa utilities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w:t>
      </w:r>
      <w:r>
        <w:rPr>
          <w:rFonts w:ascii="Times New Roman" w:hAnsi="Times New Roman"/>
          <w:b w:val="false"/>
          <w:i w:val="false"/>
          <w:color w:val="000000"/>
          <w:sz w:val="22"/>
        </w:rPr>
        <w:t>Approved backflow prevention assembly for containment means a backflow prevention assembly which is approved by the University of Southern California Foundation for Cross-Connection Control and Hydraulic Research. The approval listing shall include the limitations of use based on the degree of hazard. The backflow prevention assembly shall also be listed by the International Association of Plumbing and Mechanical Officials (IAPMO) or by the American Society of Sanitary Engineering (ASSE) as having met the requirements of one of the standards listed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377"/>
        <w:gridCol w:w="5813"/>
      </w:tblGrid>
      <w:tr>
        <w:trPr>
          <w:trHeight w:val="22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Standard</w:t>
            </w:r>
          </w:p>
        </w:tc>
        <w:tc>
          <w:tcPr>
            <w:tcW w:w="58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Product Covered</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1013-2009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Principle Backflow Preventers</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1015-2009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Backflow Prevention Assembly</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1047-2009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 Pressure Detector Backflow Preventer</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/ASSE* 1048-2009</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Detector Assembly Backflow Preventer</w:t>
            </w:r>
          </w:p>
        </w:tc>
      </w:tr>
      <w:tr>
        <w:trPr>
          <w:trHeight w:val="255" w:hRule="atLeast"/>
        </w:trPr>
        <w:tc>
          <w:tcPr>
            <w:tcW w:w="53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C510-07</w:t>
            </w:r>
          </w:p>
        </w:tc>
        <w:tc>
          <w:tcPr>
            <w:tcW w:w="58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Double Check Valve Backflow Prevention Assembly</w:t>
            </w:r>
          </w:p>
        </w:tc>
      </w:tr>
      <w:tr>
        <w:trPr>
          <w:trHeight w:val="255" w:hRule="atLeast"/>
        </w:trPr>
        <w:tc>
          <w:tcPr>
            <w:tcW w:w="537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16"/>
              </w:rPr>
              <w:t xml:space="preserve"> C511-07</w:t>
            </w:r>
          </w:p>
        </w:tc>
        <w:tc>
          <w:tcPr>
            <w:tcW w:w="58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Reduced-Pressure Principle Backflow Prevention Assembly</w:t>
            </w:r>
          </w:p>
        </w:tc>
      </w:tr>
    </w:tbl>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National Standards Institute, 1899 L Street NW, 11th Floor, Washington, DC 20036</w:t>
      </w:r>
    </w:p>
    <w:p>
      <w:pPr>
        <w:spacing w:before="0" w:after="0"/>
        <w:ind w:left="120"/>
        <w:jc w:val="both"/>
      </w:pPr>
      <w:r>
        <w:rPr>
          <w:rFonts w:ascii="Times New Roman" w:hAnsi="Times New Roman"/>
          <w:b w:val="false"/>
          <w:i w:val="false"/>
          <w:color w:val="000000"/>
          <w:sz w:val="22"/>
        </w:rPr>
        <w:t>*American Society of Sanitary Engineering, 18927 Hickory Creek Drive #220, Mokena, IL 60448</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Water Works Association, 6666 West Quincy Avenue, Denver, CO 80235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in a fire protection system. </w:t>
      </w:r>
      <w:r>
        <w:rPr>
          <w:rFonts w:ascii="Times New Roman" w:hAnsi="Times New Roman"/>
          <w:b w:val="false"/>
          <w:i w:val="false"/>
          <w:color w:val="000000"/>
          <w:sz w:val="22"/>
        </w:rPr>
        <w:t xml:space="preserve">Approved backflow prevention assembly for containment in a fire protection system means a backflow prevention assembly to be used in a fire protection system which meets the requirements of Factory Mutual Research Corporation (FM) and Underwriters Laboratory (UL) in addition to the requirements of </w:t>
      </w:r>
      <w:hyperlink r:id="rId7">
        <w:r>
          <w:rPr>
            <w:rStyle w:val="Hyperlink"/>
            <w:rFonts w:ascii="Times New Roman" w:hAnsi="Times New Roman"/>
            <w:b w:val="false"/>
            <w:i w:val="false"/>
            <w:color w:val="000000"/>
            <w:sz w:val="22"/>
          </w:rPr>
          <w:t>25.5(1)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Containment is a method of backflow prevention which requires a backflow prevention assembly on certain water services. Containment requires that the backflow prevention assembly be installed on the water service as close to the public water supply main as is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Customer means the owner, operator or occupant of a building or property which has a water service from a public water system, or the owner or operator of a private water system which has a water service from a public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Degree of hazard. </w:t>
      </w:r>
      <w:r>
        <w:rPr>
          <w:rFonts w:ascii="Times New Roman" w:hAnsi="Times New Roman"/>
          <w:b w:val="false"/>
          <w:i w:val="false"/>
          <w:color w:val="000000"/>
          <w:sz w:val="22"/>
        </w:rPr>
        <w:t>Degree of hazard means the rating of a cross connection or a water service which indicates if it has the potential to cause contamination (high hazard) or pollution (low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r>
        <w:rPr>
          <w:rFonts w:ascii="Times New Roman" w:hAnsi="Times New Roman"/>
          <w:b w:val="false"/>
          <w:i w:val="false"/>
          <w:color w:val="000000"/>
          <w:sz w:val="22"/>
        </w:rPr>
        <w:t>Depending on the context, water service is the physical connection between a public water system and a customer’s building, property or private water system, or the act of providing potable water from a public water system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color w:val="000000"/>
          <w:sz w:val="22"/>
        </w:rPr>
        <w:t xml:space="preserve">Proposed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install, or cause to have installed, a water service to a building, property or private water system before the administrative authority has evaluated the proposed water service for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shall require the submission of plans, specifications and other information deemed necessary for a building, property or private water system to which a water service is proposed. The administrative authority shall review the information submitted to determine if cross connections will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a building, property or private water system shall install, or cause to have installed, an approved backflow prevention assembly for containment as directed by the administrative authority before water service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of an existing water service shall be treated as a proposed water service for the purposes of rule </w:t>
      </w:r>
      <w:hyperlink r:id="rId8">
        <w:r>
          <w:rPr>
            <w:rStyle w:val="Hyperlink"/>
            <w:rFonts w:ascii="Times New Roman" w:hAnsi="Times New Roman"/>
            <w:b w:val="false"/>
            <w:i w:val="false"/>
            <w:color w:val="000000"/>
            <w:sz w:val="22"/>
          </w:rPr>
          <w:t>641—25.5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color w:val="000000"/>
          <w:sz w:val="22"/>
        </w:rPr>
        <w:t xml:space="preserve">Existing water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customer shall survey the activities and processes which receive water from the water service and shall report to the administrative authority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inspect the plumbing of any building, property and private water system which has a water service to determine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based on information provided through </w:t>
      </w:r>
      <w:hyperlink r:id="rId9">
        <w:r>
          <w:rPr>
            <w:rStyle w:val="Hyperlink"/>
            <w:rFonts w:ascii="Times New Roman" w:hAnsi="Times New Roman"/>
            <w:b w:val="false"/>
            <w:i w:val="false"/>
            <w:color w:val="000000"/>
            <w:sz w:val="22"/>
          </w:rPr>
          <w:t>25.5(3)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administrative authority determines that a water service may contaminate the public water supply, the administrative authority shall require that the customer install the appropriate backflow prevention assembly for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customer refuses to install a backflow prevention assembly for containment when it is required by the administrative authority, the administrative authority may order that water service to the customer be discontinued until an appropriate backflow prevention assembly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assemblies for containment.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Backflow prevention assemblies for containment shall be installed immediately following the water meter or as close to that location as deemed practical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water service determined to present a high hazard shall be protected by an air gap or an approved reduced-pressure principle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service determined to present a low hazard shall be protected by an approved double check valve assembly or as in </w:t>
      </w:r>
      <w:hyperlink r:id="rId10">
        <w:r>
          <w:rPr>
            <w:rStyle w:val="Hyperlink"/>
            <w:rFonts w:ascii="Times New Roman" w:hAnsi="Times New Roman"/>
            <w:b w:val="false"/>
            <w:i w:val="false"/>
            <w:color w:val="000000"/>
            <w:sz w:val="22"/>
          </w:rPr>
          <w:t>25.5(4)</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 service to a fire protection system shall be protected from backflow in accordance with the recommendations of American Water Works Association Manual M14. Where backflow prevention is required for a fire protection system, an approved backflow prevention assembly for containment in a fire protection system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25.5(5)</w:t>
      </w:r>
      <w:r>
        <w:rPr>
          <w:rFonts w:ascii="Times New Roman" w:hAnsi="Times New Roman"/>
          <w:b w:val="false"/>
          <w:i w:val="false"/>
          <w:color w:val="000000"/>
          <w:sz w:val="22"/>
        </w:rPr>
        <w:t> </w:t>
      </w:r>
      <w:r>
        <w:rPr>
          <w:rFonts w:ascii="Times New Roman" w:hAnsi="Times New Roman"/>
          <w:b w:val="false"/>
          <w:i/>
          <w:color w:val="000000"/>
          <w:sz w:val="22"/>
        </w:rPr>
        <w:t xml:space="preserve">Backflow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customer shall immediately notify the agency providing water service when the customer becomes aware that backflow has occurred in the building, property or private water system receiving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order that a water service be temporarily shut off when a backflow occurs in a customer’s building, property or private water system.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1089C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2614C</w:t>
      </w:r>
      <w:r>
        <w:rPr>
          <w:rFonts w:ascii="Times New Roman" w:hAnsi="Times New Roman"/>
          <w:b w:val="false"/>
          <w:i w:val="false"/>
          <w:color w:val="000000"/>
          <w:sz w:val="16"/>
        </w:rPr>
        <w:t>, IAB 7/6/16, effective 6/15/16</w:t>
      </w:r>
      <w:r>
        <w:rPr>
          <w:rFonts w:ascii="Times New Roman" w:hAnsi="Times New Roman"/>
          <w:b w:val="false"/>
          <w:i w:val="false"/>
          <w:color w:val="000000"/>
          <w:sz w:val="16"/>
        </w:rPr>
        <w:t xml:space="preserve">; </w:t>
      </w:r>
      <w:r>
        <w:rPr>
          <w:rFonts w:ascii="Times New Roman" w:hAnsi="Times New Roman"/>
          <w:b/>
          <w:i w:val="false"/>
          <w:color w:val="000000"/>
          <w:sz w:val="16"/>
        </w:rPr>
        <w:t>ARC 4611C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25.5.pdf" Type="http://schemas.openxmlformats.org/officeDocument/2006/relationships/hyperlink" Id="rId4"/>
    <Relationship TargetMode="External" Target="https://www.legis.iowa.gov/docs/iac/rule/641.25.5.pdf" Type="http://schemas.openxmlformats.org/officeDocument/2006/relationships/hyperlink" Id="rId5"/>
    <Relationship TargetMode="External" Target="https://www.legis.iowa.gov/docs/iac/rule/641.25.5.pdf" Type="http://schemas.openxmlformats.org/officeDocument/2006/relationships/hyperlink" Id="rId6"/>
    <Relationship TargetMode="External" Target="https://www.legis.iowa.gov/docs/iac/rule/641.25.5.pdf" Type="http://schemas.openxmlformats.org/officeDocument/2006/relationships/hyperlink" Id="rId7"/>
    <Relationship TargetMode="External" Target="https://www.legis.iowa.gov/docs/iac/rule/641.25.5.pdf" Type="http://schemas.openxmlformats.org/officeDocument/2006/relationships/hyperlink" Id="rId8"/>
    <Relationship TargetMode="External" Target="https://www.legis.iowa.gov/docs/iac/rule/641.25.5.pdf" Type="http://schemas.openxmlformats.org/officeDocument/2006/relationships/hyperlink" Id="rId9"/>
    <Relationship TargetMode="External" Target="https://www.legis.iowa.gov/docs/iac/rule/641.25.5.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