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641—25.1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Sections 101 and 102 and Chapters 2 to 17 of the Uniform Plumbing Code, 2021 Edition, as published by the International Association of Plumbing and Mechanical Officials, 4755 E. Philadelphia Street, Ontario, California 91761-2816, are hereby adopted by reference with amendments as the state plumbing code authorized by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105.4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Portions of this chapter reproduce excerpts from the 2021 International Plumbing Code; Copyright 2020; Washington, D.C.: International Code Council. Such excerpts are reproduced with permission, all rights reserved.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www.ICCSAFE.org</w:t>
        </w:r>
      </w:hyperlink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8860B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6/16/10, effective 7/21/10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1089C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10/16/13, effective 11/20/13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2474C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3/30/16, effective 6/1/16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3062C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5/10/17, effective 6/14/17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4611C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8/14/19, effective 9/18/19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5626C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5/19/21, effective 6/23/21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05.4.pdf" Type="http://schemas.openxmlformats.org/officeDocument/2006/relationships/hyperlink" Id="rId4"/>
    <Relationship TargetMode="External" Target="http://www.ICCSAFE.org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