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641—124.2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(691)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Membership.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Members shall include representatives from agencies and organizations that are directly involved with the office of the state medical examiner and medicolegal death investigation in the state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interagency coordinating council for the state medical examiner members shall include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medical examiner or, when the state medical examiner is not available, the deputy state medical examiner;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of public safety or the commissioner’s designee;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of public health or the director’s designee;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governor or the governor’s designee;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office of the attorney general;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Iowa County Attorneys Association;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Iowa Medical Society;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Iowa Association of Pathologists;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Iowa Association of County Medical Examiners;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statewide emergency medical system;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representative from the Iowa Funeral Directors Association.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specific organization listed in paragraphs 124.2(2)</w:t>
      </w:r>
      <w:r>
        <w:rPr>
          <w:rFonts w:ascii="Times New Roman" w:hAnsi="Times New Roman"/>
          <w:b w:val="false"/>
          <w:i/>
          <w:color w:val="000000"/>
          <w:sz w:val="22"/>
        </w:rPr>
        <w:t>“e”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“k”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designate a representative to serve on the coordinating council. Representatives shall be approved by the state medical examiner in consultation with the director of public health.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medical examiner may invite representatives from other relevant organizations to provide specific insights to a particular issue, as needed.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4705C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10/9/19, effective 11/13/19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