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61—36.6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 retention requirement.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dealer shall retain a paper or electronic copy of each written disclosure issued pursuant to this chapter for five years from the date of issuance.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9806B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10/19/11, effective 11/23/11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