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61—36.1</w:t>
      </w:r>
      <w:r>
        <w:rPr>
          <w:rFonts w:ascii="Times New Roman" w:hAnsi="Times New Roman"/>
          <w:b/>
          <w:i w:val="false"/>
          <w:color w:val="000000"/>
          <w:sz w:val="22"/>
        </w:rPr>
        <w:t xml:space="preserve">(321) </w:t>
      </w:r>
      <w:r>
        <w:rPr>
          <w:rFonts w:ascii="Times New Roman" w:hAnsi="Times New Roman"/>
          <w:b/>
          <w:i w:val="false"/>
          <w:color w:val="000000"/>
          <w:sz w:val="22"/>
        </w:rPr>
        <w:t xml:space="preserve">New motor vehicle repair or parts replacement disclosure requirement. </w:t>
      </w:r>
      <w:r>
        <w:rPr>
          <w:rFonts w:ascii="Times New Roman" w:hAnsi="Times New Roman"/>
          <w:b w:val="false"/>
          <w:i w:val="false"/>
          <w:color w:val="000000"/>
          <w:sz w:val="22"/>
        </w:rPr>
        <w:t xml:space="preserve">A person licensed as a new motor vehicle dealer pursuant to Iowa Code chapter </w:t>
      </w:r>
      <w:hyperlink r:id="rId4">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is required to disclose to the buyer or lessee of a new motor vehicle that the vehicle has been subject to any repairs or adjustments, or replacements of parts with new parts, if the actual cost of any labor or parts charged to or performed by the dealer for any such repairs, adjustments, or parts exceeds 4 percent of the dealer’s adjusted cost.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