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531—6.6</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Except where otherwise provided by law, every petition for declaratory order, petition for intervention, brief, or other paper filed in a proceeding for a declaratory order shall be served upon each of the parties of record to the proceeding, and on all other persons identified in the petition for declaratory order or petition for intervention as affected by or interested in the questions presented, simultaneously with their filing. The party filing a document is responsible for service on all parties and other affected or interested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All petitions for declaratory orders, petitions for intervention, briefs, or other papers in a proceeding for a declaratory order shall be filed with the Iowa Lottery Authority, 13001 University Avenue, Clive, Iowa 50325-8225. All petitions, briefs, or other papers that are required to be served upon a party shall be filed simultaneously with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w:t>
      </w:r>
      <w:r>
        <w:rPr>
          <w:rFonts w:ascii="Times New Roman" w:hAnsi="Times New Roman"/>
          <w:b w:val="false"/>
          <w:i w:val="false"/>
          <w:color w:val="000000"/>
          <w:sz w:val="22"/>
        </w:rPr>
        <w:t> </w:t>
      </w:r>
      <w:r>
        <w:rPr>
          <w:rFonts w:ascii="Times New Roman" w:hAnsi="Times New Roman"/>
          <w:b w:val="false"/>
          <w:i/>
          <w:color w:val="000000"/>
          <w:sz w:val="22"/>
        </w:rPr>
        <w:t xml:space="preserve">Method of service, time of filing, and proof of mailing. </w:t>
      </w:r>
      <w:r>
        <w:rPr>
          <w:rFonts w:ascii="Times New Roman" w:hAnsi="Times New Roman"/>
          <w:b w:val="false"/>
          <w:i w:val="false"/>
          <w:color w:val="000000"/>
          <w:sz w:val="22"/>
        </w:rPr>
        <w:t xml:space="preserve">Method of service, time of filing, and proof of mailing shall be as provided by </w:t>
      </w:r>
      <w:hyperlink r:id="rId4">
        <w:r>
          <w:rPr>
            <w:rStyle w:val="Hyperlink"/>
            <w:rFonts w:ascii="Times New Roman" w:hAnsi="Times New Roman"/>
            <w:b w:val="false"/>
            <w:i w:val="false"/>
            <w:color w:val="000000"/>
            <w:sz w:val="22"/>
          </w:rPr>
          <w:t>531—5.11</w:t>
        </w:r>
      </w:hyperlink>
      <w:r>
        <w:rPr>
          <w:rFonts w:ascii="Times New Roman" w:hAnsi="Times New Roman"/>
          <w:b w:val="false"/>
          <w:i w:val="false"/>
          <w:color w:val="000000"/>
          <w:sz w:val="22"/>
        </w:rPr>
        <w:t>(17A).</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1954C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31.5.11.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