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531—6.1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lottery for a declaratory order as to the applicability to specified circumstances of a statute, rule, or order within the primary jurisdiction of the lottery, at the Iowa Lottery Authority, 13001 University Avenue, Clive, Iowa 50325-8225. A petition is deemed filed when it is received by that office. The lottery shall provide the petitioner with a file-stamped copy of the petition if the petitioner provides the lottery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THE IOWA LOTTERY</w:t>
            </w:r>
          </w:p>
        </w:tc>
      </w:tr>
      <w:tr>
        <w:trPr>
          <w:trHeight w:val="109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 </w:t>
            </w:r>
          </w:p>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left"/>
      </w:pPr>
      <w:r>
        <w:rPr>
          <w:rFonts w:ascii="Times New Roman" w:hAnsi="Times New Roman"/>
          <w:b w:val="false"/>
          <w:i w:val="false"/>
          <w:color w:val="000000"/>
          <w:sz w:val="22"/>
        </w:rPr>
        <w:t>The petition must provide the following information:</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4">
        <w:r>
          <w:rPr>
            <w:rStyle w:val="Hyperlink"/>
            <w:rFonts w:ascii="Times New Roman" w:hAnsi="Times New Roman"/>
            <w:b w:val="false"/>
            <w:i w:val="false"/>
            <w:color w:val="000000"/>
            <w:sz w:val="22"/>
          </w:rPr>
          <w:t>531—6.7</w:t>
        </w:r>
      </w:hyperlink>
      <w:r>
        <w:rPr>
          <w:rFonts w:ascii="Times New Roman" w:hAnsi="Times New Roman"/>
          <w:b w:val="false"/>
          <w:i w:val="false"/>
          <w:color w:val="000000"/>
          <w:sz w:val="22"/>
        </w:rPr>
        <w:t>(17A).</w:t>
      </w:r>
    </w:p>
    <w:p>
      <w:pPr>
        <w:spacing w:before="0" w:after="0"/>
        <w:ind w:left="120"/>
        <w:jc w:val="left"/>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6.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