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531—5.4</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shall be computed as provided in Iowa Code subsection </w:t>
      </w:r>
      <w:hyperlink r:id="rId4">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or by rule. Except for good cause stated in the record, before extending or shortening the time to take any action, the presiding officer shall afford all parties an opportunity to be heard or to file written arguments.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