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531—5.25</w:t>
      </w:r>
      <w:r>
        <w:rPr>
          <w:rFonts w:ascii="Times New Roman" w:hAnsi="Times New Roman"/>
          <w:b/>
          <w:i w:val="false"/>
          <w:color w:val="000000"/>
          <w:sz w:val="22"/>
        </w:rPr>
        <w:t xml:space="preserve">(17A) </w:t>
      </w:r>
      <w:r>
        <w:rPr>
          <w:rFonts w:ascii="Times New Roman" w:hAnsi="Times New Roman"/>
          <w:b/>
          <w:i w:val="false"/>
          <w:color w:val="000000"/>
          <w:sz w:val="22"/>
        </w:rPr>
        <w:t xml:space="preserve">Interlocutory appeals. </w:t>
      </w:r>
      <w:r>
        <w:rPr>
          <w:rFonts w:ascii="Times New Roman" w:hAnsi="Times New Roman"/>
          <w:b w:val="false"/>
          <w:i w:val="false"/>
          <w:color w:val="000000"/>
          <w:sz w:val="22"/>
        </w:rPr>
        <w:t>Upon written request of a party or sua sponte, the chief executive officer may review an interlocutory order of the presiding officer. In determining whether to do so, the chief executive officer shall weigh the extent to which the chief executive officer’s granting of the interlocutory appeal would expedite final resolution of the case and the extent to which review of that interlocutory order by the agency at the time it reviews the proposed decision of the presiding officer would provide an adequate remedy. Any request for interlocutory review must be filed within 14 days of issuance of the challenged order, but no later than the time for compliance with the order or the date of hearing, whichever is first.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