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531—5.17</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applications for continuances shall be made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ten days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An oral application for a continuance may be made if the presiding officer waives the requirement for a written motion. However, a party making such an oral application for a continuance must confirm that request by written application within five days after the oral request unless that requirement is waived by the presiding officer. No application for continuance shall be made or granted without notice to all parties except in an emergency where notice is not feasible. The agency may waive notice of such requests for a particular case or an entire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The presiding officer may require documentation of any grounds for continuance.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