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531—5.16</w:t>
      </w:r>
      <w:r>
        <w:rPr>
          <w:rFonts w:ascii="Times New Roman" w:hAnsi="Times New Roman"/>
          <w:b/>
          <w:i w:val="false"/>
          <w:color w:val="000000"/>
          <w:sz w:val="22"/>
        </w:rPr>
        <w:t xml:space="preserve">(17A)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5.16(1)</w:t>
      </w:r>
      <w:r>
        <w:rPr>
          <w:rFonts w:ascii="Times New Roman" w:hAnsi="Times New Roman"/>
          <w:b w:val="false"/>
          <w:i w:val="false"/>
          <w:color w:val="000000"/>
          <w:sz w:val="22"/>
        </w:rPr>
        <w:t> </w:t>
      </w:r>
      <w:r>
        <w:rPr>
          <w:rFonts w:ascii="Times New Roman" w:hAnsi="Times New Roman"/>
          <w:b w:val="false"/>
          <w:i w:val="false"/>
          <w:color w:val="000000"/>
          <w:sz w:val="22"/>
        </w:rPr>
        <w:t>Any party may request a prehearing conference. A written request for prehearing conference or an order for prehearing conference on the presiding officer’s own motion shall be filed not less than 15 days prior to the hearing date. A prehearing conference shall be scheduled not less than 10 business days prior to the hearing date. Written notice of the prehearing conference shall be given by the presiding officer to all parties. For good cause the presiding officer may permit variances from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5.16(2)</w:t>
      </w:r>
      <w:r>
        <w:rPr>
          <w:rFonts w:ascii="Times New Roman" w:hAnsi="Times New Roman"/>
          <w:b w:val="false"/>
          <w:i w:val="false"/>
          <w:color w:val="000000"/>
          <w:sz w:val="22"/>
        </w:rPr>
        <w:t> </w:t>
      </w:r>
      <w:r>
        <w:rPr>
          <w:rFonts w:ascii="Times New Roman" w:hAnsi="Times New Roman"/>
          <w:b w:val="false"/>
          <w:i w:val="false"/>
          <w:color w:val="000000"/>
          <w:sz w:val="22"/>
        </w:rPr>
        <w:t>Each party shall bring to the prehearing conference: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final list of the witnesses who the party anticipates will testify at hearing. Witnesses not listed may be excluded from testifying unless there was good cause for the failure to include their names;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final list of exhibits which the party anticipates will be introduced at hearing. Exhibits other than rebuttal exhibits that are not listed may be excluded from admission into evidence unless there was good cause for the failure to include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Witness or exhibit lists may be amended subsequent to the prehearing conference within the time limits established by the presiding officer at the prehearing conference. Any such amendments must be served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5.16(3)</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requirements of subrule </w:t>
      </w:r>
      <w:hyperlink r:id="rId4">
        <w:r>
          <w:rPr>
            <w:rStyle w:val="Hyperlink"/>
            <w:rFonts w:ascii="Times New Roman" w:hAnsi="Times New Roman"/>
            <w:b w:val="false"/>
            <w:i w:val="false"/>
            <w:color w:val="000000"/>
            <w:sz w:val="22"/>
          </w:rPr>
          <w:t>5.16(2)</w:t>
        </w:r>
      </w:hyperlink>
      <w:r>
        <w:rPr>
          <w:rFonts w:ascii="Times New Roman" w:hAnsi="Times New Roman"/>
          <w:b w:val="false"/>
          <w:i w:val="false"/>
          <w:color w:val="000000"/>
          <w:sz w:val="22"/>
        </w:rPr>
        <w:t>, the parties at a prehearing conference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of law or fact;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on the admissibility of exhibits;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matters which the parties intend to request be officially noticed;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Enter into stipulations for waiver of any provision of law;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Consider any additional matters which will expedite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5.16(4)</w:t>
      </w:r>
      <w:r>
        <w:rPr>
          <w:rFonts w:ascii="Times New Roman" w:hAnsi="Times New Roman"/>
          <w:b w:val="false"/>
          <w:i w:val="false"/>
          <w:color w:val="000000"/>
          <w:sz w:val="22"/>
        </w:rPr>
        <w:t> </w:t>
      </w:r>
      <w:r>
        <w:rPr>
          <w:rFonts w:ascii="Times New Roman" w:hAnsi="Times New Roman"/>
          <w:b w:val="false"/>
          <w:i w:val="false"/>
          <w:color w:val="000000"/>
          <w:sz w:val="22"/>
        </w:rPr>
        <w:t>Prehearing conferences shall be conducted by telephone unless otherwise ordered. Parties shall exchange and receive witness and exhibit lists in advance of a telephone prehearing conference.</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31.5.16.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