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531—5.14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Subpoenas.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Issuance.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agency subpoena shall be issued to a party on request. Such a request must be in writing. In the absence of good cause for permitting later action, a request for a subpoena must be received at least three days before the scheduled hearing. The request shall include the name, address, and telephone number of the requesting party.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to the extent otherwise provided by law, parties are responsible for service of their own subpoenas and payment of witness fees and mileage expenses.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Motion to quash or modify.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 quash or modify a subpoena for any lawful reason upon motion in accordance with the Iowa Rules of Civil Procedure. A motion to quash or modify a subpoena shall be set for argument promptly.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