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531—5.11</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petition required in a contested case proceeding shall be filed within 20 days of delivery of the notice of hearing or subsequent order of the presiding officer,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laws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w:t>
      </w:r>
      <w:r>
        <w:rPr>
          <w:rFonts w:ascii="Times New Roman" w:hAnsi="Times New Roman"/>
          <w:b w:val="false"/>
          <w:i w:val="false"/>
          <w:color w:val="000000"/>
          <w:sz w:val="22"/>
        </w:rPr>
        <w:t> </w:t>
      </w:r>
      <w:r>
        <w:rPr>
          <w:rFonts w:ascii="Times New Roman" w:hAnsi="Times New Roman"/>
          <w:b w:val="false"/>
          <w:i/>
          <w:color w:val="000000"/>
          <w:sz w:val="22"/>
        </w:rPr>
        <w:t xml:space="preserve">Answer. </w:t>
      </w:r>
      <w:r>
        <w:rPr>
          <w:rFonts w:ascii="Times New Roman" w:hAnsi="Times New Roman"/>
          <w:b w:val="false"/>
          <w:i w:val="false"/>
          <w:color w:val="000000"/>
          <w:sz w:val="22"/>
        </w:rPr>
        <w:t>An answer shall be filed within 20 days of service of the petition unless otherwise ordered. 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An answer shall show on whose behalf it is filed and specifically admit, deny, or otherwise answer all material allegations of the pleading to which it responds.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Any allegation in the petition not denied in the answer is considered admitted. The presiding officer may refuse to consider any defense not raised in the answer which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notice of hearing, petition,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