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531—4.7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Content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petition for waiver shall include the following information where applicable and known to the requester: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and telephone number of the person or entity for which a waiver is being requested and the case number of any related contested case;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description and citation of the specific rule from which a waiver is requested;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specific waiver requested, including the precise scope and duration;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relevant facts that the petitioner believes would justify a waiver under each of the four criteria described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531—4.5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(99G). This statement shall include a signed statement from the petitioner attesting to the accuracy of the facts provided in the petition and a statement of reasons that the petitioner believes will justify a waiver;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history of any prior contacts between the board and the petitioner relating to the activity or license affected by the proposed waiver, including a description of each affected license held by the requester, any notices of violation, contested case hearings, or investigative reports relating to the activity or license within the last five years;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information known to the requester regarding the board’s treatment of similar cases;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and telephone number of any public agency or political subdivision which also regulates the activity in question, or which might be affected by the granting of a waiver;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and telephone number of any person or entity that would be adversely affected by the granting of a petition;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name, address, and telephone number of any person with knowledge of the relevant facts relating to the proposed waiver;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Signed releases of information authorizing persons with knowledge regarding the petition to furnish the board with information relevant to the waiver.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31.4.5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