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Filing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petition for a waiver must be submitted in writing to the board,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License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petition relates to a license application, the petition shall be made in accordance with the filing requirements for the license in question.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Contested cases.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petition relates to a pending contested case, the petition shall be filed in the contested case proceeding, using the caption of the contested case.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Other.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petition does not relate to a license application or a pending contested case, the petition may be submitted to the board’s executive secretary.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